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75" w:rsidRDefault="00725475" w:rsidP="00725475">
      <w:pPr>
        <w:jc w:val="center"/>
        <w:rPr>
          <w:rFonts w:ascii="Palatino" w:hAnsi="Palatino"/>
          <w:b/>
        </w:rPr>
      </w:pPr>
      <w:r>
        <w:rPr>
          <w:rFonts w:ascii="Palatino" w:hAnsi="Palatino"/>
          <w:b/>
        </w:rPr>
        <w:t>MEMORANDUM</w:t>
      </w:r>
    </w:p>
    <w:p w:rsidR="00725475" w:rsidRDefault="00725475" w:rsidP="00725475">
      <w:pPr>
        <w:jc w:val="center"/>
        <w:rPr>
          <w:rFonts w:ascii="Palatino" w:hAnsi="Palatino"/>
          <w:b/>
        </w:rPr>
      </w:pPr>
    </w:p>
    <w:p w:rsidR="00725475" w:rsidRDefault="00725475" w:rsidP="00725475">
      <w:pPr>
        <w:jc w:val="center"/>
        <w:rPr>
          <w:rFonts w:ascii="Palatino" w:hAnsi="Palatino"/>
          <w:b/>
        </w:rPr>
      </w:pPr>
    </w:p>
    <w:p w:rsidR="00725475" w:rsidRDefault="00725475" w:rsidP="00725475">
      <w:pPr>
        <w:tabs>
          <w:tab w:val="right" w:pos="1440"/>
          <w:tab w:val="left" w:pos="1800"/>
        </w:tabs>
        <w:rPr>
          <w:rFonts w:ascii="Palatino" w:hAnsi="Palatino"/>
        </w:rPr>
      </w:pPr>
      <w:r>
        <w:rPr>
          <w:rFonts w:ascii="Palatino" w:hAnsi="Palatino"/>
        </w:rPr>
        <w:tab/>
        <w:t>TO:</w:t>
      </w:r>
      <w:r>
        <w:rPr>
          <w:rFonts w:ascii="Palatino" w:hAnsi="Palatino"/>
        </w:rPr>
        <w:tab/>
        <w:t>Ordinance Committee</w:t>
      </w:r>
    </w:p>
    <w:p w:rsidR="00725475" w:rsidRDefault="00725475" w:rsidP="00725475">
      <w:pPr>
        <w:tabs>
          <w:tab w:val="right" w:pos="1440"/>
          <w:tab w:val="left" w:pos="1800"/>
        </w:tabs>
        <w:rPr>
          <w:rFonts w:ascii="Palatino" w:hAnsi="Palatino"/>
        </w:rPr>
      </w:pPr>
      <w:r>
        <w:rPr>
          <w:rFonts w:ascii="Palatino" w:hAnsi="Palatino"/>
        </w:rPr>
        <w:tab/>
        <w:t>FROM:</w:t>
      </w:r>
      <w:r>
        <w:rPr>
          <w:rFonts w:ascii="Palatino" w:hAnsi="Palatino"/>
        </w:rPr>
        <w:tab/>
        <w:t>Maureen O’Meara, Town Planner</w:t>
      </w:r>
    </w:p>
    <w:p w:rsidR="00725475" w:rsidRDefault="00725475" w:rsidP="00725475">
      <w:pPr>
        <w:tabs>
          <w:tab w:val="right" w:pos="1440"/>
          <w:tab w:val="left" w:pos="1800"/>
        </w:tabs>
        <w:rPr>
          <w:rFonts w:ascii="Palatino" w:hAnsi="Palatino"/>
        </w:rPr>
      </w:pPr>
      <w:r>
        <w:rPr>
          <w:rFonts w:ascii="Palatino" w:hAnsi="Palatino"/>
        </w:rPr>
        <w:tab/>
        <w:t>DATE:</w:t>
      </w:r>
      <w:r>
        <w:rPr>
          <w:rFonts w:ascii="Palatino" w:hAnsi="Palatino"/>
        </w:rPr>
        <w:tab/>
        <w:t>March 16, 2011</w:t>
      </w:r>
    </w:p>
    <w:p w:rsidR="00725475" w:rsidRDefault="00725475" w:rsidP="00725475">
      <w:pPr>
        <w:tabs>
          <w:tab w:val="right" w:pos="1440"/>
          <w:tab w:val="left" w:pos="1800"/>
        </w:tabs>
        <w:rPr>
          <w:rFonts w:ascii="Palatino" w:hAnsi="Palatino"/>
        </w:rPr>
      </w:pPr>
      <w:r>
        <w:rPr>
          <w:rFonts w:ascii="Palatino" w:hAnsi="Palatino"/>
        </w:rPr>
        <w:tab/>
        <w:t>SUBJECT:</w:t>
      </w:r>
      <w:r>
        <w:rPr>
          <w:rFonts w:ascii="Palatino" w:hAnsi="Palatino"/>
        </w:rPr>
        <w:tab/>
        <w:t>Growth Areas Review</w:t>
      </w:r>
    </w:p>
    <w:p w:rsidR="00725475" w:rsidRDefault="00725475" w:rsidP="00725475">
      <w:pPr>
        <w:tabs>
          <w:tab w:val="right" w:pos="1440"/>
          <w:tab w:val="left" w:pos="1800"/>
        </w:tabs>
        <w:rPr>
          <w:rFonts w:ascii="Palatino" w:hAnsi="Palatino"/>
        </w:rPr>
      </w:pPr>
    </w:p>
    <w:p w:rsidR="00725475" w:rsidRDefault="00725475" w:rsidP="00725475">
      <w:pPr>
        <w:tabs>
          <w:tab w:val="right" w:pos="1440"/>
          <w:tab w:val="left" w:pos="1800"/>
        </w:tabs>
        <w:rPr>
          <w:rFonts w:ascii="Palatino" w:hAnsi="Palatino"/>
        </w:rPr>
      </w:pPr>
      <w:r>
        <w:rPr>
          <w:rFonts w:ascii="Palatino" w:hAnsi="Palatino"/>
        </w:rPr>
        <w:t>At the February 16, 2011 meeting, the Ordinance Committee reviewed aerial photos of the RB District and other information. At the conclusion of the meeting, the committee requested additional information</w:t>
      </w:r>
      <w:r w:rsidR="006D6049">
        <w:rPr>
          <w:rFonts w:ascii="Palatino" w:hAnsi="Palatino"/>
        </w:rPr>
        <w:t>,</w:t>
      </w:r>
      <w:r>
        <w:rPr>
          <w:rFonts w:ascii="Palatino" w:hAnsi="Palatino"/>
        </w:rPr>
        <w:t xml:space="preserve"> which is presented below.</w:t>
      </w:r>
    </w:p>
    <w:p w:rsidR="00725475" w:rsidRDefault="00725475" w:rsidP="00725475">
      <w:pPr>
        <w:tabs>
          <w:tab w:val="right" w:pos="1440"/>
          <w:tab w:val="left" w:pos="1800"/>
        </w:tabs>
        <w:rPr>
          <w:rFonts w:ascii="Palatino" w:hAnsi="Palatino"/>
        </w:rPr>
      </w:pPr>
    </w:p>
    <w:p w:rsidR="00725475" w:rsidRDefault="00725475" w:rsidP="00725475">
      <w:pPr>
        <w:ind w:left="720" w:hanging="720"/>
        <w:rPr>
          <w:rFonts w:ascii="Palatino" w:hAnsi="Palatino"/>
        </w:rPr>
      </w:pPr>
      <w:r>
        <w:rPr>
          <w:rFonts w:ascii="Palatino" w:hAnsi="Palatino"/>
        </w:rPr>
        <w:t>1.</w:t>
      </w:r>
      <w:r>
        <w:rPr>
          <w:rFonts w:ascii="Palatino" w:hAnsi="Palatino"/>
        </w:rPr>
        <w:tab/>
        <w:t>What specific town policies/regulations direct development to Growth Areas?</w:t>
      </w:r>
    </w:p>
    <w:p w:rsidR="00725475" w:rsidRDefault="00725475" w:rsidP="00725475">
      <w:pPr>
        <w:ind w:left="720" w:hanging="720"/>
        <w:rPr>
          <w:rFonts w:ascii="Palatino" w:hAnsi="Palatino"/>
        </w:rPr>
      </w:pPr>
    </w:p>
    <w:p w:rsidR="00725475" w:rsidRDefault="00725475" w:rsidP="00725475">
      <w:pPr>
        <w:rPr>
          <w:rFonts w:ascii="Palatino" w:hAnsi="Palatino"/>
        </w:rPr>
      </w:pPr>
      <w:r>
        <w:rPr>
          <w:rFonts w:ascii="Palatino" w:hAnsi="Palatino"/>
        </w:rPr>
        <w:t>The State Comprehensive Planning Rules require that towns designate growth areas (unless they qualify for an exemption) and that policies and regulations be adopted that direct growth to the growth areas. This does not mean that growth cannot occur outside a growth area, and in fact it is expected that some growth will occur outside growth areas. It should be emphasized that these polic</w:t>
      </w:r>
      <w:r w:rsidR="00D37D02">
        <w:rPr>
          <w:rFonts w:ascii="Palatino" w:hAnsi="Palatino"/>
        </w:rPr>
        <w:t>i</w:t>
      </w:r>
      <w:r>
        <w:rPr>
          <w:rFonts w:ascii="Palatino" w:hAnsi="Palatino"/>
        </w:rPr>
        <w:t xml:space="preserve">es do not promote new development, but rather </w:t>
      </w:r>
      <w:r w:rsidRPr="00725475">
        <w:rPr>
          <w:rFonts w:ascii="Palatino" w:hAnsi="Palatino"/>
          <w:i/>
        </w:rPr>
        <w:t>direct</w:t>
      </w:r>
      <w:r>
        <w:rPr>
          <w:rFonts w:ascii="Palatino" w:hAnsi="Palatino"/>
        </w:rPr>
        <w:t xml:space="preserve"> development that might otherwise occur, to specific areas of town. The 2007 Comprehensive Plan includes an analysis (also required by state rules) of how much growth occurred in growth areas versus rural areas </w:t>
      </w:r>
      <w:r w:rsidR="00D37D02">
        <w:rPr>
          <w:rFonts w:ascii="Palatino" w:hAnsi="Palatino"/>
        </w:rPr>
        <w:t xml:space="preserve">during the last planning period </w:t>
      </w:r>
      <w:r>
        <w:rPr>
          <w:rFonts w:ascii="Palatino" w:hAnsi="Palatino"/>
        </w:rPr>
        <w:t>(page 145). This analysis shows that Cape’s current policies have been very effective in directing new development to growth areas.</w:t>
      </w:r>
    </w:p>
    <w:p w:rsidR="00725475" w:rsidRDefault="00725475" w:rsidP="00725475">
      <w:pPr>
        <w:rPr>
          <w:rFonts w:ascii="Palatino" w:hAnsi="Palatino"/>
        </w:rPr>
      </w:pPr>
    </w:p>
    <w:p w:rsidR="00725475" w:rsidRDefault="00BB6E52" w:rsidP="00725475">
      <w:pPr>
        <w:rPr>
          <w:rFonts w:ascii="Palatino" w:hAnsi="Palatino"/>
        </w:rPr>
      </w:pPr>
      <w:r>
        <w:rPr>
          <w:rFonts w:ascii="Palatino" w:hAnsi="Palatino"/>
        </w:rPr>
        <w:t>What are the</w:t>
      </w:r>
      <w:r w:rsidR="00725475">
        <w:rPr>
          <w:rFonts w:ascii="Palatino" w:hAnsi="Palatino"/>
        </w:rPr>
        <w:t>se policies?</w:t>
      </w:r>
    </w:p>
    <w:p w:rsidR="00725475" w:rsidRDefault="00725475" w:rsidP="00725475">
      <w:pPr>
        <w:rPr>
          <w:rFonts w:ascii="Palatino" w:hAnsi="Palatino"/>
        </w:rPr>
      </w:pPr>
    </w:p>
    <w:p w:rsidR="0015784D" w:rsidRDefault="00BB6E52" w:rsidP="00725475">
      <w:pPr>
        <w:ind w:left="1440" w:hanging="720"/>
        <w:rPr>
          <w:rFonts w:ascii="Palatino" w:hAnsi="Palatino"/>
        </w:rPr>
      </w:pPr>
      <w:r>
        <w:rPr>
          <w:rFonts w:ascii="Palatino" w:hAnsi="Palatino"/>
        </w:rPr>
        <w:t>a</w:t>
      </w:r>
      <w:r w:rsidR="0015784D">
        <w:rPr>
          <w:rFonts w:ascii="Palatino" w:hAnsi="Palatino"/>
        </w:rPr>
        <w:t>.</w:t>
      </w:r>
      <w:r w:rsidR="0015784D">
        <w:rPr>
          <w:rFonts w:ascii="Palatino" w:hAnsi="Palatino"/>
        </w:rPr>
        <w:tab/>
      </w:r>
      <w:r w:rsidR="0015784D">
        <w:rPr>
          <w:rFonts w:ascii="Palatino" w:hAnsi="Palatino"/>
          <w:b/>
        </w:rPr>
        <w:t>Comprehensive Plan direction.</w:t>
      </w:r>
      <w:r w:rsidR="0015784D">
        <w:rPr>
          <w:rFonts w:ascii="Palatino" w:hAnsi="Palatino"/>
        </w:rPr>
        <w:t xml:space="preserve"> The Comprehensive Plan, adopted by the Town Council, identifies growth areas. This policy statement suggests to potential land developers that the risk inherent in land development will be less for proposed development in growth areas than non-growth areas.</w:t>
      </w:r>
      <w:r>
        <w:rPr>
          <w:rFonts w:ascii="Palatino" w:hAnsi="Palatino"/>
        </w:rPr>
        <w:t xml:space="preserve"> Land developers seeking Planning Board approval will always emphasize when the</w:t>
      </w:r>
      <w:r w:rsidR="00D37D02">
        <w:rPr>
          <w:rFonts w:ascii="Palatino" w:hAnsi="Palatino"/>
        </w:rPr>
        <w:t>ir</w:t>
      </w:r>
      <w:r>
        <w:rPr>
          <w:rFonts w:ascii="Palatino" w:hAnsi="Palatino"/>
        </w:rPr>
        <w:t xml:space="preserve"> development is proposed in a growth area.</w:t>
      </w:r>
    </w:p>
    <w:p w:rsidR="0015784D" w:rsidRDefault="0015784D" w:rsidP="00725475">
      <w:pPr>
        <w:ind w:left="1440" w:hanging="720"/>
        <w:rPr>
          <w:rFonts w:ascii="Palatino" w:hAnsi="Palatino"/>
        </w:rPr>
      </w:pPr>
    </w:p>
    <w:p w:rsidR="0015784D" w:rsidRDefault="00BB6E52" w:rsidP="00725475">
      <w:pPr>
        <w:ind w:left="1440" w:hanging="720"/>
        <w:rPr>
          <w:rFonts w:ascii="Palatino" w:hAnsi="Palatino"/>
        </w:rPr>
      </w:pPr>
      <w:r>
        <w:rPr>
          <w:rFonts w:ascii="Palatino" w:hAnsi="Palatino"/>
        </w:rPr>
        <w:t>b.</w:t>
      </w:r>
      <w:r w:rsidR="0015784D">
        <w:rPr>
          <w:rFonts w:ascii="Palatino" w:hAnsi="Palatino"/>
        </w:rPr>
        <w:tab/>
      </w:r>
      <w:r w:rsidR="0015784D">
        <w:rPr>
          <w:rFonts w:ascii="Palatino" w:hAnsi="Palatino"/>
          <w:b/>
        </w:rPr>
        <w:t>Sewer.</w:t>
      </w:r>
      <w:r w:rsidR="0015784D">
        <w:rPr>
          <w:rFonts w:ascii="Palatino" w:hAnsi="Palatino"/>
        </w:rPr>
        <w:t xml:space="preserve"> The Town Sewer Ordinance restricts where the Town Council may grant permission for sewer to be installed, even at private expense. The Sewer Ordinance explicitly states that land developers may petition to have growth areas designated as sewer service areas, providing permission to extend sewer to new development. Sewer often enhances the development potential, both under the Zoning Ordinance and due to physical constraints of land. </w:t>
      </w:r>
    </w:p>
    <w:p w:rsidR="0015784D" w:rsidRDefault="0015784D" w:rsidP="00725475">
      <w:pPr>
        <w:ind w:left="1440" w:hanging="720"/>
        <w:rPr>
          <w:rFonts w:ascii="Palatino" w:hAnsi="Palatino"/>
        </w:rPr>
      </w:pPr>
    </w:p>
    <w:p w:rsidR="00D37D02" w:rsidRDefault="0015784D" w:rsidP="00725475">
      <w:pPr>
        <w:ind w:left="1440" w:hanging="720"/>
        <w:rPr>
          <w:rFonts w:ascii="Palatino" w:hAnsi="Palatino"/>
        </w:rPr>
      </w:pPr>
      <w:r>
        <w:rPr>
          <w:rFonts w:ascii="Palatino" w:hAnsi="Palatino"/>
        </w:rPr>
        <w:tab/>
        <w:t>The Town has also endorsed adding new sewer users to the sewer system in order to share the cost of the existing sewer</w:t>
      </w:r>
      <w:r w:rsidR="00D37D02">
        <w:rPr>
          <w:rFonts w:ascii="Palatino" w:hAnsi="Palatino"/>
        </w:rPr>
        <w:t xml:space="preserve"> infrastructure, hoping to ease </w:t>
      </w:r>
      <w:r>
        <w:rPr>
          <w:rFonts w:ascii="Palatino" w:hAnsi="Palatino"/>
        </w:rPr>
        <w:t>sewer rates for all sewer users.</w:t>
      </w:r>
      <w:r w:rsidR="00A47641">
        <w:rPr>
          <w:rFonts w:ascii="Palatino" w:hAnsi="Palatino"/>
        </w:rPr>
        <w:t xml:space="preserve"> </w:t>
      </w:r>
      <w:r>
        <w:rPr>
          <w:rFonts w:ascii="Palatino" w:hAnsi="Palatino"/>
        </w:rPr>
        <w:t xml:space="preserve">Provision of public sewer is also valued as a more environmentally responsible approach to sanitary waste disposal. The Cape Elizabeth Planning Board has been a supporter of public sewer even when it is not required for new development. </w:t>
      </w:r>
    </w:p>
    <w:p w:rsidR="00BB6E52" w:rsidRDefault="00BB6E52" w:rsidP="00725475">
      <w:pPr>
        <w:ind w:left="1440" w:hanging="720"/>
        <w:rPr>
          <w:rFonts w:ascii="Palatino" w:hAnsi="Palatino"/>
        </w:rPr>
      </w:pPr>
    </w:p>
    <w:p w:rsidR="00BB6E52" w:rsidRDefault="00BB6E52" w:rsidP="00BB6E52">
      <w:pPr>
        <w:ind w:left="1440" w:hanging="720"/>
        <w:rPr>
          <w:rFonts w:ascii="Palatino" w:hAnsi="Palatino"/>
        </w:rPr>
      </w:pPr>
      <w:r>
        <w:rPr>
          <w:rFonts w:ascii="Palatino" w:hAnsi="Palatino"/>
        </w:rPr>
        <w:t>c.</w:t>
      </w:r>
      <w:r>
        <w:rPr>
          <w:rFonts w:ascii="Palatino" w:hAnsi="Palatino"/>
        </w:rPr>
        <w:tab/>
      </w:r>
      <w:r w:rsidRPr="0015784D">
        <w:rPr>
          <w:rFonts w:ascii="Palatino" w:hAnsi="Palatino"/>
          <w:b/>
        </w:rPr>
        <w:t>Zoning District densities.</w:t>
      </w:r>
      <w:r>
        <w:rPr>
          <w:rFonts w:ascii="Palatino" w:hAnsi="Palatino"/>
        </w:rPr>
        <w:t xml:space="preserve"> Cape Elizabeth has created 3 residential zoning districts, with decreasing levels of density allowed. The two growth areas, RC (infill) and RB have the higher densities. In addition, the RB District has a two-tiered density that allows greater density if the project will be served by public sewer. This two-tiered density is specified in the Open Space Zoning Provisions (Sec. 19-7-2). A two-tiered system is also available in the RA District, but even with public sewer, the density is higher in the RB. </w:t>
      </w:r>
    </w:p>
    <w:p w:rsidR="00BB6E52" w:rsidRDefault="00BB6E52" w:rsidP="00BB6E52">
      <w:pPr>
        <w:ind w:left="1440" w:hanging="720"/>
        <w:rPr>
          <w:rFonts w:ascii="Palatino" w:hAnsi="Palatino"/>
        </w:rPr>
      </w:pPr>
    </w:p>
    <w:p w:rsidR="00BB6E52" w:rsidRDefault="00BB6E52" w:rsidP="00BB6E52">
      <w:pPr>
        <w:ind w:left="1440" w:hanging="720"/>
        <w:rPr>
          <w:rFonts w:ascii="Palatino" w:hAnsi="Palatino"/>
        </w:rPr>
      </w:pPr>
      <w:r>
        <w:rPr>
          <w:rFonts w:ascii="Palatino" w:hAnsi="Palatino"/>
        </w:rPr>
        <w:tab/>
        <w:t xml:space="preserve">The importance of density to direct growth is that it enhances profit because more lots/units can be developed. Land value and project value is determined much </w:t>
      </w:r>
      <w:r w:rsidR="00D37D02">
        <w:rPr>
          <w:rFonts w:ascii="Palatino" w:hAnsi="Palatino"/>
        </w:rPr>
        <w:t>more by the number of units that</w:t>
      </w:r>
      <w:r>
        <w:rPr>
          <w:rFonts w:ascii="Palatino" w:hAnsi="Palatino"/>
        </w:rPr>
        <w:t xml:space="preserve"> can be developed than by the total land size. This approach uses the market to implement the town policy to direct new development to growth areas. It does not, however, prohibit land owners in the RA District from choosing to develop their land. </w:t>
      </w:r>
    </w:p>
    <w:p w:rsidR="00BB6E52" w:rsidRDefault="00BB6E52" w:rsidP="00BB6E52">
      <w:pPr>
        <w:ind w:left="1440" w:hanging="720"/>
        <w:rPr>
          <w:rFonts w:ascii="Palatino" w:hAnsi="Palatino"/>
        </w:rPr>
      </w:pPr>
    </w:p>
    <w:p w:rsidR="00BB6E52" w:rsidRDefault="00BB6E52" w:rsidP="00BB6E52">
      <w:pPr>
        <w:ind w:left="1440" w:hanging="720"/>
        <w:rPr>
          <w:rFonts w:ascii="Palatino" w:hAnsi="Palatino"/>
        </w:rPr>
      </w:pPr>
      <w:r>
        <w:rPr>
          <w:rFonts w:ascii="Palatino" w:hAnsi="Palatino"/>
        </w:rPr>
        <w:t>d.</w:t>
      </w:r>
      <w:r>
        <w:rPr>
          <w:rFonts w:ascii="Palatino" w:hAnsi="Palatino"/>
        </w:rPr>
        <w:tab/>
      </w:r>
      <w:r>
        <w:rPr>
          <w:rFonts w:ascii="Palatino" w:hAnsi="Palatino"/>
          <w:b/>
        </w:rPr>
        <w:t>Open Space Zoning Provisions.</w:t>
      </w:r>
      <w:r>
        <w:rPr>
          <w:rFonts w:ascii="Palatino" w:hAnsi="Palatino"/>
        </w:rPr>
        <w:t xml:space="preserve"> Sec. 19-7-2 of the Zoning Ordinance includes cluster development provisions that both provide incentives to land developers and advance town goals. These provisions are mandatory in the RB District (growth area), and optional in the RC and RA Districts. The provisions encourage clustered development rather than traditional subdivisions. </w:t>
      </w:r>
    </w:p>
    <w:p w:rsidR="00BB6E52" w:rsidRDefault="00BB6E52" w:rsidP="00BB6E52">
      <w:pPr>
        <w:ind w:left="1440" w:hanging="720"/>
        <w:rPr>
          <w:rFonts w:ascii="Palatino" w:hAnsi="Palatino"/>
        </w:rPr>
      </w:pPr>
    </w:p>
    <w:p w:rsidR="00BB6E52" w:rsidRDefault="00BB6E52" w:rsidP="00BB6E52">
      <w:pPr>
        <w:ind w:left="720" w:hanging="720"/>
        <w:rPr>
          <w:rFonts w:ascii="Palatino" w:hAnsi="Palatino"/>
        </w:rPr>
      </w:pPr>
      <w:r>
        <w:rPr>
          <w:rFonts w:ascii="Palatino" w:hAnsi="Palatino"/>
        </w:rPr>
        <w:t>2.</w:t>
      </w:r>
      <w:r>
        <w:rPr>
          <w:rFonts w:ascii="Palatino" w:hAnsi="Palatino"/>
        </w:rPr>
        <w:tab/>
        <w:t>What are the implications of identifying growth areas?</w:t>
      </w:r>
    </w:p>
    <w:p w:rsidR="00BB6E52" w:rsidRDefault="00BB6E52" w:rsidP="00BB6E52">
      <w:pPr>
        <w:ind w:left="720" w:hanging="720"/>
        <w:rPr>
          <w:rFonts w:ascii="Palatino" w:hAnsi="Palatino"/>
        </w:rPr>
      </w:pPr>
    </w:p>
    <w:p w:rsidR="0022651D" w:rsidRDefault="00E97023" w:rsidP="00E97023">
      <w:pPr>
        <w:rPr>
          <w:rFonts w:ascii="Palatino" w:hAnsi="Palatino"/>
        </w:rPr>
      </w:pPr>
      <w:r>
        <w:rPr>
          <w:rFonts w:ascii="Palatino" w:hAnsi="Palatino"/>
        </w:rPr>
        <w:t>Growth areas, accompanied by the requirements of Open Space Zoning, promote compact growth rather than sprawl type growth.</w:t>
      </w:r>
      <w:r w:rsidR="0022651D">
        <w:rPr>
          <w:rFonts w:ascii="Palatino" w:hAnsi="Palatino"/>
        </w:rPr>
        <w:t xml:space="preserve"> The implications for identifying growth areas are the same as the advantages of compact development. Some of the most significant advantages are summarized below.</w:t>
      </w:r>
    </w:p>
    <w:p w:rsidR="0022651D" w:rsidRDefault="0022651D" w:rsidP="00E97023">
      <w:pPr>
        <w:rPr>
          <w:rFonts w:ascii="Palatino" w:hAnsi="Palatino"/>
        </w:rPr>
      </w:pPr>
    </w:p>
    <w:p w:rsidR="00E53BF0" w:rsidRDefault="00E53BF0" w:rsidP="0022651D">
      <w:pPr>
        <w:ind w:left="1440" w:hanging="720"/>
        <w:rPr>
          <w:rFonts w:ascii="Palatino" w:hAnsi="Palatino"/>
        </w:rPr>
      </w:pPr>
      <w:r>
        <w:rPr>
          <w:rFonts w:ascii="Palatino" w:hAnsi="Palatino"/>
        </w:rPr>
        <w:t>a.</w:t>
      </w:r>
      <w:r>
        <w:rPr>
          <w:rFonts w:ascii="Palatino" w:hAnsi="Palatino"/>
        </w:rPr>
        <w:tab/>
      </w:r>
      <w:r w:rsidRPr="00D37D02">
        <w:rPr>
          <w:rFonts w:ascii="Palatino" w:hAnsi="Palatino"/>
          <w:b/>
        </w:rPr>
        <w:t>Advancing town goals</w:t>
      </w:r>
      <w:r>
        <w:rPr>
          <w:rFonts w:ascii="Palatino" w:hAnsi="Palatino"/>
        </w:rPr>
        <w:t>.</w:t>
      </w:r>
      <w:r w:rsidR="00D37D02">
        <w:rPr>
          <w:rFonts w:ascii="Palatino" w:hAnsi="Palatino"/>
        </w:rPr>
        <w:t xml:space="preserve"> Clustered or “Open Space Zoning” developments must comply with development standards that implement town goals, such as preservation of open space, preservation of wildlife habitat, recreation, public sewer user expansion, affordable housing and community character.</w:t>
      </w:r>
      <w:r w:rsidR="00A47641">
        <w:rPr>
          <w:rFonts w:ascii="Palatino" w:hAnsi="Palatino"/>
        </w:rPr>
        <w:t xml:space="preserve"> A fuller description of the benefits of compact development is in the comprehensive plan.</w:t>
      </w:r>
    </w:p>
    <w:p w:rsidR="00E53BF0" w:rsidRDefault="00E53BF0" w:rsidP="0022651D">
      <w:pPr>
        <w:ind w:left="1440" w:hanging="720"/>
        <w:rPr>
          <w:rFonts w:ascii="Palatino" w:hAnsi="Palatino"/>
        </w:rPr>
      </w:pPr>
    </w:p>
    <w:p w:rsidR="00E53BF0" w:rsidRPr="00D37D02" w:rsidRDefault="00E53BF0" w:rsidP="0022651D">
      <w:pPr>
        <w:ind w:left="1440" w:hanging="720"/>
        <w:rPr>
          <w:rFonts w:ascii="Palatino" w:hAnsi="Palatino"/>
        </w:rPr>
      </w:pPr>
      <w:r>
        <w:rPr>
          <w:rFonts w:ascii="Palatino" w:hAnsi="Palatino"/>
        </w:rPr>
        <w:t>b.</w:t>
      </w:r>
      <w:r>
        <w:rPr>
          <w:rFonts w:ascii="Palatino" w:hAnsi="Palatino"/>
        </w:rPr>
        <w:tab/>
      </w:r>
      <w:r w:rsidRPr="00D37D02">
        <w:rPr>
          <w:rFonts w:ascii="Palatino" w:hAnsi="Palatino"/>
          <w:b/>
        </w:rPr>
        <w:t>Cost/efficiency</w:t>
      </w:r>
      <w:r w:rsidR="00D37D02">
        <w:rPr>
          <w:rFonts w:ascii="Palatino" w:hAnsi="Palatino"/>
        </w:rPr>
        <w:t xml:space="preserve">. Clustered development can be 8%-12% less expensive </w:t>
      </w:r>
      <w:r w:rsidR="00A47641">
        <w:rPr>
          <w:rFonts w:ascii="Palatino" w:hAnsi="Palatino"/>
        </w:rPr>
        <w:t>for</w:t>
      </w:r>
      <w:r w:rsidR="00D37D02">
        <w:rPr>
          <w:rFonts w:ascii="Palatino" w:hAnsi="Palatino"/>
        </w:rPr>
        <w:t xml:space="preserve"> municipalities </w:t>
      </w:r>
      <w:r w:rsidR="00A47641">
        <w:rPr>
          <w:rFonts w:ascii="Palatino" w:hAnsi="Palatino"/>
        </w:rPr>
        <w:t>to provide</w:t>
      </w:r>
      <w:r w:rsidR="00D37D02">
        <w:rPr>
          <w:rFonts w:ascii="Palatino" w:hAnsi="Palatino"/>
        </w:rPr>
        <w:t xml:space="preserve"> services. For example, clustered developments include less miles of roads to maintain or drive a school bus on and less stormwater management because impervious surface is reduced. </w:t>
      </w:r>
    </w:p>
    <w:p w:rsidR="00A47641" w:rsidRDefault="00A47641" w:rsidP="0022651D">
      <w:pPr>
        <w:ind w:left="1440" w:hanging="720"/>
        <w:rPr>
          <w:rFonts w:ascii="Palatino" w:hAnsi="Palatino"/>
        </w:rPr>
      </w:pPr>
    </w:p>
    <w:p w:rsidR="00E53BF0" w:rsidRDefault="00E53BF0" w:rsidP="0022651D">
      <w:pPr>
        <w:ind w:left="1440" w:hanging="720"/>
        <w:rPr>
          <w:rFonts w:ascii="Palatino" w:hAnsi="Palatino"/>
        </w:rPr>
      </w:pPr>
    </w:p>
    <w:p w:rsidR="007F6D1B" w:rsidRDefault="00E53BF0" w:rsidP="007F6D1B">
      <w:pPr>
        <w:ind w:left="720" w:hanging="720"/>
        <w:rPr>
          <w:rFonts w:ascii="Palatino" w:hAnsi="Palatino"/>
        </w:rPr>
      </w:pPr>
      <w:r>
        <w:rPr>
          <w:rFonts w:ascii="Palatino" w:hAnsi="Palatino"/>
        </w:rPr>
        <w:t>3.</w:t>
      </w:r>
      <w:r>
        <w:rPr>
          <w:rFonts w:ascii="Palatino" w:hAnsi="Palatino"/>
        </w:rPr>
        <w:tab/>
        <w:t>What are the infrastructure implications for 900+ new lots/units?</w:t>
      </w:r>
    </w:p>
    <w:p w:rsidR="007F6D1B" w:rsidRDefault="007F6D1B" w:rsidP="007F6D1B">
      <w:pPr>
        <w:ind w:left="720" w:hanging="720"/>
        <w:rPr>
          <w:rFonts w:ascii="Palatino" w:hAnsi="Palatino"/>
        </w:rPr>
      </w:pPr>
    </w:p>
    <w:p w:rsidR="007F6D1B" w:rsidRDefault="00D37D02" w:rsidP="007F6D1B">
      <w:pPr>
        <w:rPr>
          <w:rFonts w:ascii="Palatino" w:hAnsi="Palatino"/>
        </w:rPr>
      </w:pPr>
      <w:r>
        <w:rPr>
          <w:rFonts w:ascii="Palatino" w:hAnsi="Palatino"/>
        </w:rPr>
        <w:t xml:space="preserve">Current growth estimates suggest that </w:t>
      </w:r>
      <w:r w:rsidRPr="00D37D02">
        <w:rPr>
          <w:rFonts w:ascii="Palatino" w:hAnsi="Palatino"/>
        </w:rPr>
        <w:t xml:space="preserve">10 </w:t>
      </w:r>
      <w:r w:rsidRPr="00D37D02">
        <w:rPr>
          <w:rFonts w:ascii="Palatino" w:hAnsi="Palatino"/>
          <w:u w:val="single"/>
        </w:rPr>
        <w:t>+</w:t>
      </w:r>
      <w:r w:rsidRPr="00D37D02">
        <w:rPr>
          <w:rFonts w:ascii="Palatino" w:hAnsi="Palatino"/>
        </w:rPr>
        <w:t xml:space="preserve"> lots</w:t>
      </w:r>
      <w:r>
        <w:rPr>
          <w:rFonts w:ascii="Palatino" w:hAnsi="Palatino"/>
        </w:rPr>
        <w:t xml:space="preserve">/units might be added each year, so the addition of 900 lots/units will be spread over decades. </w:t>
      </w:r>
      <w:r w:rsidR="007F6D1B">
        <w:rPr>
          <w:rFonts w:ascii="Palatino" w:hAnsi="Palatino"/>
        </w:rPr>
        <w:t xml:space="preserve">Generally, in the near term, current infrastructure should be adequate to support this pace of development. </w:t>
      </w:r>
      <w:r w:rsidR="007D2EC4">
        <w:rPr>
          <w:rFonts w:ascii="Palatino" w:hAnsi="Palatino"/>
        </w:rPr>
        <w:t>This is a very cursory overview of community impact from growth</w:t>
      </w:r>
      <w:r w:rsidR="00120041">
        <w:rPr>
          <w:rFonts w:ascii="Palatino" w:hAnsi="Palatino"/>
        </w:rPr>
        <w:t xml:space="preserve"> and vastly oversimplifies an assessment of town department responsibilities and needs and should not be used out of the context of the growth areas review. Below is a summary of the elements of the community impact assessment.</w:t>
      </w:r>
    </w:p>
    <w:p w:rsidR="007F6D1B" w:rsidRDefault="007F6D1B" w:rsidP="007F6D1B">
      <w:pPr>
        <w:rPr>
          <w:rFonts w:ascii="Palatino" w:hAnsi="Palatino"/>
        </w:rPr>
      </w:pPr>
    </w:p>
    <w:p w:rsidR="007F6D1B" w:rsidRDefault="007F6D1B" w:rsidP="007F6D1B">
      <w:pPr>
        <w:ind w:left="1440" w:hanging="720"/>
        <w:rPr>
          <w:rFonts w:ascii="Palatino" w:hAnsi="Palatino"/>
        </w:rPr>
      </w:pPr>
      <w:r>
        <w:rPr>
          <w:rFonts w:ascii="Palatino" w:hAnsi="Palatino"/>
        </w:rPr>
        <w:t>a.</w:t>
      </w:r>
      <w:r>
        <w:rPr>
          <w:rFonts w:ascii="Palatino" w:hAnsi="Palatino"/>
        </w:rPr>
        <w:tab/>
      </w:r>
      <w:r w:rsidRPr="007F6D1B">
        <w:rPr>
          <w:rFonts w:ascii="Palatino" w:hAnsi="Palatino"/>
          <w:b/>
        </w:rPr>
        <w:t>Traffic systems</w:t>
      </w:r>
      <w:r>
        <w:rPr>
          <w:rFonts w:ascii="Palatino" w:hAnsi="Palatino"/>
        </w:rPr>
        <w:t>. The comprehensive plan reviewed the capacity of town roads. No roads are considered congested or safety hazards. No intersections are listed as hazardous. The town center intersection (Route 77/Scott Dyer Rd/Shore Rd) appears to be the only intersection that might require upgrade in the future.</w:t>
      </w:r>
    </w:p>
    <w:p w:rsidR="007F6D1B" w:rsidRDefault="007F6D1B" w:rsidP="007F6D1B">
      <w:pPr>
        <w:ind w:left="1440" w:hanging="720"/>
        <w:rPr>
          <w:rFonts w:ascii="Palatino" w:hAnsi="Palatino"/>
        </w:rPr>
      </w:pPr>
    </w:p>
    <w:p w:rsidR="00A84CFB" w:rsidRPr="00383171" w:rsidRDefault="007F6D1B" w:rsidP="007F6D1B">
      <w:pPr>
        <w:ind w:left="1440" w:hanging="720"/>
        <w:rPr>
          <w:rFonts w:ascii="Palatino" w:hAnsi="Palatino"/>
        </w:rPr>
      </w:pPr>
      <w:r>
        <w:rPr>
          <w:rFonts w:ascii="Palatino" w:hAnsi="Palatino"/>
        </w:rPr>
        <w:t>b.</w:t>
      </w:r>
      <w:r>
        <w:rPr>
          <w:rFonts w:ascii="Palatino" w:hAnsi="Palatino"/>
        </w:rPr>
        <w:tab/>
      </w:r>
      <w:r>
        <w:rPr>
          <w:rFonts w:ascii="Palatino" w:hAnsi="Palatino"/>
          <w:b/>
        </w:rPr>
        <w:t xml:space="preserve">School. </w:t>
      </w:r>
      <w:r w:rsidR="00383171">
        <w:rPr>
          <w:rFonts w:ascii="Palatino" w:hAnsi="Palatino"/>
        </w:rPr>
        <w:t>See attached</w:t>
      </w:r>
      <w:r w:rsidR="00917F2A">
        <w:rPr>
          <w:rFonts w:ascii="Palatino" w:hAnsi="Palatino"/>
        </w:rPr>
        <w:t xml:space="preserve"> enrollment study summary</w:t>
      </w:r>
      <w:r w:rsidR="00383171">
        <w:rPr>
          <w:rFonts w:ascii="Palatino" w:hAnsi="Palatino"/>
        </w:rPr>
        <w:t>.</w:t>
      </w:r>
    </w:p>
    <w:p w:rsidR="00A84CFB" w:rsidRDefault="00A84CFB" w:rsidP="007F6D1B">
      <w:pPr>
        <w:ind w:left="1440" w:hanging="720"/>
        <w:rPr>
          <w:rFonts w:ascii="Palatino" w:hAnsi="Palatino"/>
        </w:rPr>
      </w:pPr>
    </w:p>
    <w:p w:rsidR="002F489A" w:rsidRDefault="00A84CFB" w:rsidP="007F6D1B">
      <w:pPr>
        <w:ind w:left="1440" w:hanging="720"/>
        <w:rPr>
          <w:rFonts w:ascii="Palatino" w:hAnsi="Palatino"/>
        </w:rPr>
      </w:pPr>
      <w:r>
        <w:rPr>
          <w:rFonts w:ascii="Palatino" w:hAnsi="Palatino"/>
        </w:rPr>
        <w:t>c.</w:t>
      </w:r>
      <w:r>
        <w:rPr>
          <w:rFonts w:ascii="Palatino" w:hAnsi="Palatino"/>
        </w:rPr>
        <w:tab/>
      </w:r>
      <w:r>
        <w:rPr>
          <w:rFonts w:ascii="Palatino" w:hAnsi="Palatino"/>
          <w:b/>
        </w:rPr>
        <w:t xml:space="preserve">Police. </w:t>
      </w:r>
      <w:r>
        <w:rPr>
          <w:rFonts w:ascii="Palatino" w:hAnsi="Palatino"/>
        </w:rPr>
        <w:t>If town population increases, the most likely needs in the Police Department would be to increase time for a detective, add a patrol and potentially add a school resource officer.</w:t>
      </w:r>
    </w:p>
    <w:p w:rsidR="002F489A" w:rsidRDefault="002F489A" w:rsidP="007F6D1B">
      <w:pPr>
        <w:ind w:left="1440" w:hanging="720"/>
        <w:rPr>
          <w:rFonts w:ascii="Palatino" w:hAnsi="Palatino"/>
        </w:rPr>
      </w:pPr>
    </w:p>
    <w:p w:rsidR="00405466" w:rsidRDefault="002F489A" w:rsidP="007F6D1B">
      <w:pPr>
        <w:ind w:left="1440" w:hanging="720"/>
        <w:rPr>
          <w:rFonts w:ascii="Palatino" w:hAnsi="Palatino"/>
        </w:rPr>
      </w:pPr>
      <w:r>
        <w:rPr>
          <w:rFonts w:ascii="Palatino" w:hAnsi="Palatino"/>
        </w:rPr>
        <w:t>d.</w:t>
      </w:r>
      <w:r>
        <w:rPr>
          <w:rFonts w:ascii="Palatino" w:hAnsi="Palatino"/>
        </w:rPr>
        <w:tab/>
      </w:r>
      <w:r>
        <w:rPr>
          <w:rFonts w:ascii="Palatino" w:hAnsi="Palatino"/>
          <w:b/>
        </w:rPr>
        <w:t xml:space="preserve">Fire. </w:t>
      </w:r>
      <w:r>
        <w:rPr>
          <w:rFonts w:ascii="Palatino" w:hAnsi="Palatino"/>
        </w:rPr>
        <w:t xml:space="preserve">Because housing in Cape Elizabeth is generally well-kept, the on-call Fire Department </w:t>
      </w:r>
      <w:r w:rsidR="00405466">
        <w:rPr>
          <w:rFonts w:ascii="Palatino" w:hAnsi="Palatino"/>
        </w:rPr>
        <w:t>is not identifying any infrastructure challenges related to anticipated growth.</w:t>
      </w:r>
    </w:p>
    <w:p w:rsidR="00405466" w:rsidRDefault="00405466" w:rsidP="007F6D1B">
      <w:pPr>
        <w:ind w:left="1440" w:hanging="720"/>
        <w:rPr>
          <w:rFonts w:ascii="Palatino" w:hAnsi="Palatino"/>
        </w:rPr>
      </w:pPr>
    </w:p>
    <w:p w:rsidR="00931D24" w:rsidRPr="00405466" w:rsidRDefault="00405466" w:rsidP="007F6D1B">
      <w:pPr>
        <w:ind w:left="1440" w:hanging="720"/>
        <w:rPr>
          <w:rFonts w:ascii="Palatino" w:hAnsi="Palatino"/>
        </w:rPr>
      </w:pPr>
      <w:r>
        <w:rPr>
          <w:rFonts w:ascii="Palatino" w:hAnsi="Palatino"/>
        </w:rPr>
        <w:t>e.</w:t>
      </w:r>
      <w:r>
        <w:rPr>
          <w:rFonts w:ascii="Palatino" w:hAnsi="Palatino"/>
        </w:rPr>
        <w:tab/>
      </w:r>
      <w:r>
        <w:rPr>
          <w:rFonts w:ascii="Palatino" w:hAnsi="Palatino"/>
          <w:b/>
        </w:rPr>
        <w:t xml:space="preserve">Rescue. </w:t>
      </w:r>
      <w:r>
        <w:rPr>
          <w:rFonts w:ascii="Palatino" w:hAnsi="Palatino"/>
        </w:rPr>
        <w:t xml:space="preserve">The on-call Rescue is currently handling about 400 calls a year. Once the number of calls reaches 480-500 annually, </w:t>
      </w:r>
      <w:r w:rsidR="00120041">
        <w:rPr>
          <w:rFonts w:ascii="Palatino" w:hAnsi="Palatino"/>
        </w:rPr>
        <w:t>there will probably be a need for full-time staffing. The time of day of a call or the frequency of multiple calls at the same time also is a factor. Even without additional growth, calls are expected to increase with the aging population.</w:t>
      </w:r>
    </w:p>
    <w:p w:rsidR="00A84CFB" w:rsidRDefault="00A84CFB" w:rsidP="007F6D1B">
      <w:pPr>
        <w:ind w:left="1440" w:hanging="720"/>
        <w:rPr>
          <w:rFonts w:ascii="Palatino" w:hAnsi="Palatino"/>
        </w:rPr>
      </w:pPr>
    </w:p>
    <w:p w:rsidR="00A84CFB" w:rsidRDefault="00120041" w:rsidP="007F6D1B">
      <w:pPr>
        <w:ind w:left="1440" w:hanging="720"/>
        <w:rPr>
          <w:rFonts w:ascii="Palatino" w:hAnsi="Palatino"/>
        </w:rPr>
      </w:pPr>
      <w:r>
        <w:rPr>
          <w:rFonts w:ascii="Palatino" w:hAnsi="Palatino"/>
        </w:rPr>
        <w:t>f</w:t>
      </w:r>
      <w:r w:rsidR="00A84CFB">
        <w:rPr>
          <w:rFonts w:ascii="Palatino" w:hAnsi="Palatino"/>
        </w:rPr>
        <w:t>.</w:t>
      </w:r>
      <w:r w:rsidR="00A84CFB">
        <w:rPr>
          <w:rFonts w:ascii="Palatino" w:hAnsi="Palatino"/>
        </w:rPr>
        <w:tab/>
      </w:r>
      <w:r w:rsidR="00A84CFB">
        <w:rPr>
          <w:rFonts w:ascii="Palatino" w:hAnsi="Palatino"/>
          <w:b/>
        </w:rPr>
        <w:t xml:space="preserve">Solid Waste. </w:t>
      </w:r>
      <w:r w:rsidR="00A84CFB">
        <w:rPr>
          <w:rFonts w:ascii="Palatino" w:hAnsi="Palatino"/>
        </w:rPr>
        <w:t>The trend is toward more recycling, which could offset any increase in waste from growth. There is adequate space to handle an increased volume of recycling, but hauling of recyclable materials may need to increase.</w:t>
      </w:r>
    </w:p>
    <w:p w:rsidR="00A84CFB" w:rsidRDefault="00A84CFB" w:rsidP="007F6D1B">
      <w:pPr>
        <w:ind w:left="1440" w:hanging="720"/>
        <w:rPr>
          <w:rFonts w:ascii="Palatino" w:hAnsi="Palatino"/>
        </w:rPr>
      </w:pPr>
    </w:p>
    <w:p w:rsidR="00A84CFB" w:rsidRDefault="00120041" w:rsidP="007F6D1B">
      <w:pPr>
        <w:ind w:left="1440" w:hanging="720"/>
        <w:rPr>
          <w:rFonts w:ascii="Palatino" w:hAnsi="Palatino"/>
        </w:rPr>
      </w:pPr>
      <w:r>
        <w:rPr>
          <w:rFonts w:ascii="Palatino" w:hAnsi="Palatino"/>
        </w:rPr>
        <w:t>g</w:t>
      </w:r>
      <w:r w:rsidR="00A84CFB">
        <w:rPr>
          <w:rFonts w:ascii="Palatino" w:hAnsi="Palatino"/>
        </w:rPr>
        <w:t>.</w:t>
      </w:r>
      <w:r w:rsidR="00A84CFB">
        <w:rPr>
          <w:rFonts w:ascii="Palatino" w:hAnsi="Palatino"/>
        </w:rPr>
        <w:tab/>
      </w:r>
      <w:r w:rsidR="00A84CFB">
        <w:rPr>
          <w:rFonts w:ascii="Palatino" w:hAnsi="Palatino"/>
          <w:b/>
        </w:rPr>
        <w:t xml:space="preserve">Road maintenance. </w:t>
      </w:r>
      <w:r w:rsidR="00A84CFB">
        <w:rPr>
          <w:rFonts w:ascii="Palatino" w:hAnsi="Palatino"/>
        </w:rPr>
        <w:t>There are currently 62 miles of road to maintain. Current levels provide for plowing of a route every 3.5 -4 hours. If road miles expand so that it takes 4.5 or more hours to plow a route, adding a staff person to Public Works plus equipment would need to be considered.</w:t>
      </w:r>
      <w:r w:rsidR="007D2EC4">
        <w:rPr>
          <w:rFonts w:ascii="Palatino" w:hAnsi="Palatino"/>
        </w:rPr>
        <w:t xml:space="preserve"> It was noted that road layout has as much influence on this as miles of road. A connected road system takes less time to plow than a road system with lots of dead ends. This person would not just be added for snow plowing, but also for the annual maintenance needs. The existing building is adequate.</w:t>
      </w:r>
    </w:p>
    <w:p w:rsidR="00A84CFB" w:rsidRDefault="00A84CFB" w:rsidP="007F6D1B">
      <w:pPr>
        <w:ind w:left="1440" w:hanging="720"/>
        <w:rPr>
          <w:rFonts w:ascii="Palatino" w:hAnsi="Palatino"/>
        </w:rPr>
      </w:pPr>
    </w:p>
    <w:p w:rsidR="00A84CFB" w:rsidRDefault="00120041" w:rsidP="007F6D1B">
      <w:pPr>
        <w:ind w:left="1440" w:hanging="720"/>
        <w:rPr>
          <w:rFonts w:ascii="Palatino" w:hAnsi="Palatino"/>
        </w:rPr>
      </w:pPr>
      <w:r>
        <w:rPr>
          <w:rFonts w:ascii="Palatino" w:hAnsi="Palatino"/>
        </w:rPr>
        <w:t>h</w:t>
      </w:r>
      <w:r w:rsidR="00A84CFB">
        <w:rPr>
          <w:rFonts w:ascii="Palatino" w:hAnsi="Palatino"/>
        </w:rPr>
        <w:t>.</w:t>
      </w:r>
      <w:r w:rsidR="00A84CFB">
        <w:rPr>
          <w:rFonts w:ascii="Palatino" w:hAnsi="Palatino"/>
        </w:rPr>
        <w:tab/>
      </w:r>
      <w:r w:rsidR="00A84CFB">
        <w:rPr>
          <w:rFonts w:ascii="Palatino" w:hAnsi="Palatino"/>
          <w:b/>
        </w:rPr>
        <w:t xml:space="preserve">Stormwater. </w:t>
      </w:r>
      <w:r w:rsidR="00A84CFB">
        <w:rPr>
          <w:rFonts w:ascii="Palatino" w:hAnsi="Palatino"/>
        </w:rPr>
        <w:t>Stormwater and its associated infrastructure is a growing responsibility for the Public Works Department now due to federal and state regulations. Increased demand for maintenance of stormwater infrastructure will occur without any increase in growth.</w:t>
      </w:r>
    </w:p>
    <w:p w:rsidR="00A84CFB" w:rsidRDefault="00A84CFB" w:rsidP="007F6D1B">
      <w:pPr>
        <w:ind w:left="1440" w:hanging="720"/>
        <w:rPr>
          <w:rFonts w:ascii="Palatino" w:hAnsi="Palatino"/>
        </w:rPr>
      </w:pPr>
    </w:p>
    <w:p w:rsidR="00931D24" w:rsidRDefault="00120041" w:rsidP="007F6D1B">
      <w:pPr>
        <w:ind w:left="1440" w:hanging="720"/>
        <w:rPr>
          <w:rFonts w:ascii="Palatino" w:hAnsi="Palatino"/>
        </w:rPr>
      </w:pPr>
      <w:r>
        <w:rPr>
          <w:rFonts w:ascii="Palatino" w:hAnsi="Palatino"/>
        </w:rPr>
        <w:t>i</w:t>
      </w:r>
      <w:r w:rsidR="00A84CFB">
        <w:rPr>
          <w:rFonts w:ascii="Palatino" w:hAnsi="Palatino"/>
        </w:rPr>
        <w:t>.</w:t>
      </w:r>
      <w:r w:rsidR="00A84CFB">
        <w:rPr>
          <w:rFonts w:ascii="Palatino" w:hAnsi="Palatino"/>
        </w:rPr>
        <w:tab/>
      </w:r>
      <w:r w:rsidR="00A6449B">
        <w:rPr>
          <w:rFonts w:ascii="Palatino" w:hAnsi="Palatino"/>
          <w:b/>
        </w:rPr>
        <w:t xml:space="preserve">Sewer. </w:t>
      </w:r>
      <w:r w:rsidR="00A6449B">
        <w:rPr>
          <w:rFonts w:ascii="Palatino" w:hAnsi="Palatino"/>
        </w:rPr>
        <w:t>The town has contracted for additional capacity for the northern sewer system with the City of South Portland and this capacity should accommodate anticipated growth. Aside from demands from growth, both the northern and southern sewer systems continue to demand upgrades to reduce groundwater infiltration.</w:t>
      </w:r>
    </w:p>
    <w:p w:rsidR="00931D24" w:rsidRDefault="00931D24" w:rsidP="007F6D1B">
      <w:pPr>
        <w:ind w:left="1440" w:hanging="720"/>
        <w:rPr>
          <w:rFonts w:ascii="Palatino" w:hAnsi="Palatino"/>
        </w:rPr>
      </w:pPr>
    </w:p>
    <w:p w:rsidR="00931D24" w:rsidRDefault="00120041" w:rsidP="007F6D1B">
      <w:pPr>
        <w:ind w:left="1440" w:hanging="720"/>
        <w:rPr>
          <w:rFonts w:ascii="Palatino" w:hAnsi="Palatino"/>
        </w:rPr>
      </w:pPr>
      <w:r>
        <w:rPr>
          <w:rFonts w:ascii="Palatino" w:hAnsi="Palatino"/>
        </w:rPr>
        <w:t>j</w:t>
      </w:r>
      <w:r w:rsidR="00931D24">
        <w:rPr>
          <w:rFonts w:ascii="Palatino" w:hAnsi="Palatino"/>
        </w:rPr>
        <w:t>.</w:t>
      </w:r>
      <w:r w:rsidR="00931D24">
        <w:rPr>
          <w:rFonts w:ascii="Palatino" w:hAnsi="Palatino"/>
        </w:rPr>
        <w:tab/>
      </w:r>
      <w:r w:rsidR="00931D24">
        <w:rPr>
          <w:rFonts w:ascii="Palatino" w:hAnsi="Palatino"/>
          <w:b/>
        </w:rPr>
        <w:t xml:space="preserve">Recreation. </w:t>
      </w:r>
      <w:r w:rsidR="00931D24">
        <w:rPr>
          <w:rFonts w:ascii="Palatino" w:hAnsi="Palatino"/>
        </w:rPr>
        <w:t>Demands for recreational facilities could dramatically change with the demographic shift to an older population, in particular dampening any need to increase ballfield capacity.</w:t>
      </w:r>
    </w:p>
    <w:p w:rsidR="00931D24" w:rsidRDefault="00931D24" w:rsidP="007F6D1B">
      <w:pPr>
        <w:ind w:left="1440" w:hanging="720"/>
        <w:rPr>
          <w:rFonts w:ascii="Palatino" w:hAnsi="Palatino"/>
        </w:rPr>
      </w:pPr>
    </w:p>
    <w:p w:rsidR="00E53BF0" w:rsidRDefault="00120041" w:rsidP="00383171">
      <w:pPr>
        <w:ind w:left="1440" w:hanging="720"/>
        <w:rPr>
          <w:rFonts w:ascii="Palatino" w:hAnsi="Palatino"/>
        </w:rPr>
      </w:pPr>
      <w:r>
        <w:rPr>
          <w:rFonts w:ascii="Palatino" w:hAnsi="Palatino"/>
        </w:rPr>
        <w:t>k</w:t>
      </w:r>
      <w:r w:rsidR="00931D24">
        <w:rPr>
          <w:rFonts w:ascii="Palatino" w:hAnsi="Palatino"/>
        </w:rPr>
        <w:t>.</w:t>
      </w:r>
      <w:r w:rsidR="00931D24">
        <w:rPr>
          <w:rFonts w:ascii="Palatino" w:hAnsi="Palatino"/>
        </w:rPr>
        <w:tab/>
      </w:r>
      <w:r w:rsidR="00931D24">
        <w:rPr>
          <w:rFonts w:ascii="Palatino" w:hAnsi="Palatino"/>
          <w:b/>
        </w:rPr>
        <w:t xml:space="preserve">Wildlife Habitat. </w:t>
      </w:r>
      <w:r w:rsidR="00931D24">
        <w:rPr>
          <w:rFonts w:ascii="Palatino" w:hAnsi="Palatino"/>
        </w:rPr>
        <w:t>The existing significant wildlife habitats are already protected by the town’s wetland and shoreland zoning regulations</w:t>
      </w:r>
      <w:r w:rsidR="0071083C">
        <w:rPr>
          <w:rFonts w:ascii="Palatino" w:hAnsi="Palatino"/>
        </w:rPr>
        <w:t xml:space="preserve"> and protected habitat areas will increase as part of new development review.</w:t>
      </w:r>
    </w:p>
    <w:p w:rsidR="00E53BF0" w:rsidRDefault="00E53BF0" w:rsidP="00E53BF0">
      <w:pPr>
        <w:ind w:left="720" w:hanging="720"/>
        <w:rPr>
          <w:rFonts w:ascii="Palatino" w:hAnsi="Palatino"/>
        </w:rPr>
      </w:pPr>
    </w:p>
    <w:p w:rsidR="00E53BF0" w:rsidRDefault="00E53BF0" w:rsidP="00E53BF0">
      <w:pPr>
        <w:ind w:left="720" w:hanging="720"/>
        <w:rPr>
          <w:rFonts w:ascii="Palatino" w:hAnsi="Palatino"/>
        </w:rPr>
      </w:pPr>
      <w:r>
        <w:rPr>
          <w:rFonts w:ascii="Palatino" w:hAnsi="Palatino"/>
        </w:rPr>
        <w:t>4.</w:t>
      </w:r>
      <w:r>
        <w:rPr>
          <w:rFonts w:ascii="Palatino" w:hAnsi="Palatino"/>
        </w:rPr>
        <w:tab/>
        <w:t>Development Potential Spreadsheet Review</w:t>
      </w:r>
    </w:p>
    <w:p w:rsidR="00E53BF0" w:rsidRDefault="00E53BF0" w:rsidP="00E53BF0">
      <w:pPr>
        <w:ind w:left="720" w:hanging="720"/>
        <w:rPr>
          <w:rFonts w:ascii="Palatino" w:hAnsi="Palatino"/>
        </w:rPr>
      </w:pPr>
    </w:p>
    <w:p w:rsidR="004F753B" w:rsidRDefault="00E53BF0" w:rsidP="004F753B">
      <w:pPr>
        <w:rPr>
          <w:rFonts w:ascii="Palatino" w:hAnsi="Palatino"/>
        </w:rPr>
      </w:pPr>
      <w:r>
        <w:rPr>
          <w:rFonts w:ascii="Palatino" w:hAnsi="Palatino"/>
        </w:rPr>
        <w:t xml:space="preserve">Attached is a spreadsheet developed during the Comprehensive Plan review in 2007 estimating build-out capacity using current zoning. </w:t>
      </w:r>
      <w:r w:rsidR="00106FA9">
        <w:rPr>
          <w:rFonts w:ascii="Palatino" w:hAnsi="Palatino"/>
        </w:rPr>
        <w:t>A build-out analysis</w:t>
      </w:r>
      <w:r w:rsidR="00A47641">
        <w:rPr>
          <w:rFonts w:ascii="Palatino" w:hAnsi="Palatino"/>
        </w:rPr>
        <w:t xml:space="preserve"> is a tool that can be used to plan for </w:t>
      </w:r>
      <w:r w:rsidR="00106FA9">
        <w:rPr>
          <w:rFonts w:ascii="Palatino" w:hAnsi="Palatino"/>
        </w:rPr>
        <w:t>potential additional development. It is not, by itself, a goal to achieve this level of development. In addition, t</w:t>
      </w:r>
      <w:r w:rsidR="004F753B">
        <w:rPr>
          <w:rFonts w:ascii="Palatino" w:hAnsi="Palatino"/>
        </w:rPr>
        <w:t xml:space="preserve">he analysis </w:t>
      </w:r>
      <w:r w:rsidR="004F753B" w:rsidRPr="004F753B">
        <w:rPr>
          <w:rFonts w:ascii="Palatino" w:hAnsi="Palatino"/>
          <w:i/>
        </w:rPr>
        <w:t>should not</w:t>
      </w:r>
      <w:r w:rsidR="004F753B">
        <w:rPr>
          <w:rFonts w:ascii="Palatino" w:hAnsi="Palatino"/>
          <w:i/>
        </w:rPr>
        <w:t xml:space="preserve"> </w:t>
      </w:r>
      <w:r w:rsidR="004F753B">
        <w:rPr>
          <w:rFonts w:ascii="Palatino" w:hAnsi="Palatino"/>
        </w:rPr>
        <w:t xml:space="preserve">be used to determine the build-out potential of individual lots as it is not accurate at that level. Below is a description of the </w:t>
      </w:r>
      <w:r w:rsidR="00AB1F9C">
        <w:rPr>
          <w:rFonts w:ascii="Palatino" w:hAnsi="Palatino"/>
        </w:rPr>
        <w:t>columns displayed in the printout.</w:t>
      </w:r>
    </w:p>
    <w:p w:rsidR="004F753B" w:rsidRDefault="004F753B" w:rsidP="004F753B">
      <w:pPr>
        <w:rPr>
          <w:rFonts w:ascii="Palatino" w:hAnsi="Palatino"/>
        </w:rPr>
      </w:pPr>
    </w:p>
    <w:p w:rsidR="004F753B" w:rsidRDefault="004F753B" w:rsidP="00AB1F9C">
      <w:pPr>
        <w:ind w:left="1440" w:hanging="1440"/>
        <w:rPr>
          <w:rFonts w:ascii="Palatino" w:hAnsi="Palatino"/>
        </w:rPr>
      </w:pPr>
      <w:r>
        <w:rPr>
          <w:rFonts w:ascii="Palatino" w:hAnsi="Palatino"/>
        </w:rPr>
        <w:t xml:space="preserve">Column A: </w:t>
      </w:r>
      <w:r w:rsidR="00AB1F9C">
        <w:rPr>
          <w:rFonts w:ascii="Palatino" w:hAnsi="Palatino"/>
        </w:rPr>
        <w:tab/>
      </w:r>
      <w:r>
        <w:rPr>
          <w:rFonts w:ascii="Palatino" w:hAnsi="Palatino"/>
        </w:rPr>
        <w:t>Map-Lot number from the Assessor’s database</w:t>
      </w:r>
    </w:p>
    <w:p w:rsidR="00AB1F9C" w:rsidRDefault="004F753B" w:rsidP="00AB1F9C">
      <w:pPr>
        <w:ind w:left="1440" w:hanging="1440"/>
        <w:rPr>
          <w:rFonts w:ascii="Palatino" w:hAnsi="Palatino"/>
        </w:rPr>
      </w:pPr>
      <w:r>
        <w:rPr>
          <w:rFonts w:ascii="Palatino" w:hAnsi="Palatino"/>
        </w:rPr>
        <w:t>Column D:</w:t>
      </w:r>
      <w:r>
        <w:rPr>
          <w:rFonts w:ascii="Palatino" w:hAnsi="Palatino"/>
        </w:rPr>
        <w:tab/>
      </w:r>
      <w:r w:rsidR="00AB1F9C">
        <w:rPr>
          <w:rFonts w:ascii="Palatino" w:hAnsi="Palatino"/>
        </w:rPr>
        <w:t>The estimated number of lots that could be developed from that lot, after deducting for wetlands and typical inefficiencies of land division.</w:t>
      </w:r>
    </w:p>
    <w:p w:rsidR="00AB1F9C" w:rsidRDefault="00AB1F9C" w:rsidP="00AB1F9C">
      <w:pPr>
        <w:ind w:left="1440" w:hanging="1440"/>
        <w:rPr>
          <w:rFonts w:ascii="Palatino" w:hAnsi="Palatino"/>
        </w:rPr>
      </w:pPr>
      <w:r>
        <w:rPr>
          <w:rFonts w:ascii="Palatino" w:hAnsi="Palatino"/>
        </w:rPr>
        <w:t>Column J:</w:t>
      </w:r>
      <w:r>
        <w:rPr>
          <w:rFonts w:ascii="Palatino" w:hAnsi="Palatino"/>
        </w:rPr>
        <w:tab/>
        <w:t>The estimated number of lots that could be developed from the lot if the Comprehensive Plan recommendations were implemented.</w:t>
      </w:r>
    </w:p>
    <w:p w:rsidR="00AB1F9C" w:rsidRDefault="00AB1F9C" w:rsidP="00AB1F9C">
      <w:pPr>
        <w:ind w:left="1440" w:hanging="1440"/>
        <w:rPr>
          <w:rFonts w:ascii="Palatino" w:hAnsi="Palatino"/>
        </w:rPr>
      </w:pPr>
      <w:r>
        <w:rPr>
          <w:rFonts w:ascii="Palatino" w:hAnsi="Palatino"/>
        </w:rPr>
        <w:t>Column L:</w:t>
      </w:r>
      <w:r>
        <w:rPr>
          <w:rFonts w:ascii="Palatino" w:hAnsi="Palatino"/>
        </w:rPr>
        <w:tab/>
        <w:t>The minimum lot size from current zoning.</w:t>
      </w:r>
    </w:p>
    <w:p w:rsidR="00AB1F9C" w:rsidRDefault="00AB1F9C" w:rsidP="00AB1F9C">
      <w:pPr>
        <w:ind w:left="1440" w:hanging="1440"/>
        <w:rPr>
          <w:rFonts w:ascii="Palatino" w:hAnsi="Palatino"/>
        </w:rPr>
      </w:pPr>
      <w:r>
        <w:rPr>
          <w:rFonts w:ascii="Palatino" w:hAnsi="Palatino"/>
        </w:rPr>
        <w:t>Column M:</w:t>
      </w:r>
      <w:r>
        <w:rPr>
          <w:rFonts w:ascii="Palatino" w:hAnsi="Palatino"/>
        </w:rPr>
        <w:tab/>
        <w:t>The current Zoning designation of the lot.</w:t>
      </w:r>
    </w:p>
    <w:p w:rsidR="00AB1F9C" w:rsidRDefault="00AB1F9C" w:rsidP="00AB1F9C">
      <w:pPr>
        <w:ind w:left="1440" w:hanging="1440"/>
        <w:rPr>
          <w:rFonts w:ascii="Palatino" w:hAnsi="Palatino"/>
        </w:rPr>
      </w:pPr>
      <w:r>
        <w:rPr>
          <w:rFonts w:ascii="Palatino" w:hAnsi="Palatino"/>
        </w:rPr>
        <w:t>Column N:</w:t>
      </w:r>
      <w:r>
        <w:rPr>
          <w:rFonts w:ascii="Palatino" w:hAnsi="Palatino"/>
        </w:rPr>
        <w:tab/>
        <w:t>The area of the lot that can be developed after wetlands are deducted.</w:t>
      </w:r>
    </w:p>
    <w:p w:rsidR="00AB1F9C" w:rsidRDefault="00AB1F9C" w:rsidP="00AB1F9C">
      <w:pPr>
        <w:ind w:left="1440" w:hanging="1440"/>
        <w:rPr>
          <w:rFonts w:ascii="Palatino" w:hAnsi="Palatino"/>
        </w:rPr>
      </w:pPr>
      <w:r>
        <w:rPr>
          <w:rFonts w:ascii="Palatino" w:hAnsi="Palatino"/>
        </w:rPr>
        <w:t>Column O:</w:t>
      </w:r>
      <w:r>
        <w:rPr>
          <w:rFonts w:ascii="Palatino" w:hAnsi="Palatino"/>
        </w:rPr>
        <w:tab/>
        <w:t>Whether the lot currently has a principal structure on it (1) or is vacant (0).</w:t>
      </w:r>
    </w:p>
    <w:p w:rsidR="00AB1F9C" w:rsidRDefault="00AB1F9C" w:rsidP="00AB1F9C">
      <w:pPr>
        <w:ind w:left="1440" w:hanging="1440"/>
        <w:rPr>
          <w:rFonts w:ascii="Palatino" w:hAnsi="Palatino"/>
        </w:rPr>
      </w:pPr>
      <w:r>
        <w:rPr>
          <w:rFonts w:ascii="Palatino" w:hAnsi="Palatino"/>
        </w:rPr>
        <w:t xml:space="preserve">Column P: </w:t>
      </w:r>
      <w:r>
        <w:rPr>
          <w:rFonts w:ascii="Palatino" w:hAnsi="Palatino"/>
        </w:rPr>
        <w:tab/>
        <w:t>The ratio used to determine how efficiently the lot could be divided.</w:t>
      </w:r>
    </w:p>
    <w:p w:rsidR="00AB1F9C" w:rsidRDefault="00AB1F9C" w:rsidP="00AB1F9C">
      <w:pPr>
        <w:ind w:left="1440" w:hanging="1440"/>
        <w:rPr>
          <w:rFonts w:ascii="Palatino" w:hAnsi="Palatino"/>
        </w:rPr>
      </w:pPr>
      <w:r>
        <w:rPr>
          <w:rFonts w:ascii="Palatino" w:hAnsi="Palatino"/>
        </w:rPr>
        <w:t>Column Q:</w:t>
      </w:r>
      <w:r>
        <w:rPr>
          <w:rFonts w:ascii="Palatino" w:hAnsi="Palatino"/>
        </w:rPr>
        <w:tab/>
        <w:t>Whether the lot is located in a Sewer Service Area (1) or not (0).</w:t>
      </w:r>
    </w:p>
    <w:p w:rsidR="00AB1F9C" w:rsidRDefault="00AB1F9C" w:rsidP="00AB1F9C">
      <w:pPr>
        <w:ind w:left="1440" w:hanging="1440"/>
        <w:rPr>
          <w:rFonts w:ascii="Palatino" w:hAnsi="Palatino"/>
        </w:rPr>
      </w:pPr>
      <w:r>
        <w:rPr>
          <w:rFonts w:ascii="Palatino" w:hAnsi="Palatino"/>
        </w:rPr>
        <w:t>Column R:</w:t>
      </w:r>
      <w:r>
        <w:rPr>
          <w:rFonts w:ascii="Palatino" w:hAnsi="Palatino"/>
        </w:rPr>
        <w:tab/>
        <w:t>Property owner in 2007</w:t>
      </w:r>
    </w:p>
    <w:p w:rsidR="00AB1F9C" w:rsidRDefault="00AB1F9C" w:rsidP="00AB1F9C">
      <w:pPr>
        <w:ind w:left="1440" w:hanging="1440"/>
        <w:rPr>
          <w:rFonts w:ascii="Palatino" w:hAnsi="Palatino"/>
        </w:rPr>
      </w:pPr>
      <w:r>
        <w:rPr>
          <w:rFonts w:ascii="Palatino" w:hAnsi="Palatino"/>
        </w:rPr>
        <w:t>Column T:</w:t>
      </w:r>
      <w:r>
        <w:rPr>
          <w:rFonts w:ascii="Palatino" w:hAnsi="Palatino"/>
        </w:rPr>
        <w:tab/>
        <w:t>Address of property owner</w:t>
      </w:r>
    </w:p>
    <w:p w:rsidR="00AB1F9C" w:rsidRDefault="00AB1F9C" w:rsidP="00AB1F9C">
      <w:pPr>
        <w:ind w:left="1440" w:hanging="1440"/>
        <w:rPr>
          <w:rFonts w:ascii="Palatino" w:hAnsi="Palatino"/>
        </w:rPr>
      </w:pPr>
      <w:r>
        <w:rPr>
          <w:rFonts w:ascii="Palatino" w:hAnsi="Palatino"/>
        </w:rPr>
        <w:t>Column Z:</w:t>
      </w:r>
      <w:r>
        <w:rPr>
          <w:rFonts w:ascii="Palatino" w:hAnsi="Palatino"/>
        </w:rPr>
        <w:tab/>
        <w:t>Gross square feet of lot before wetlands and efficiency is calculated.</w:t>
      </w:r>
    </w:p>
    <w:p w:rsidR="00AB1F9C" w:rsidRDefault="00AB1F9C" w:rsidP="00AB1F9C">
      <w:pPr>
        <w:ind w:left="1440" w:hanging="1440"/>
        <w:rPr>
          <w:rFonts w:ascii="Palatino" w:hAnsi="Palatino"/>
        </w:rPr>
      </w:pPr>
    </w:p>
    <w:p w:rsidR="00917F2A" w:rsidRDefault="00AB1F9C" w:rsidP="00AB1F9C">
      <w:pPr>
        <w:rPr>
          <w:rFonts w:ascii="Palatino" w:hAnsi="Palatino"/>
        </w:rPr>
      </w:pPr>
      <w:r>
        <w:rPr>
          <w:rFonts w:ascii="Palatino" w:hAnsi="Palatino"/>
        </w:rPr>
        <w:t>Based on this analysis, development potential in each zoning district is estimated as follows</w:t>
      </w:r>
      <w:r w:rsidR="00106FA9">
        <w:rPr>
          <w:rFonts w:ascii="Palatino" w:hAnsi="Palatino"/>
        </w:rPr>
        <w:t xml:space="preserve"> (rounded to the nearest 10)</w:t>
      </w:r>
      <w:r>
        <w:rPr>
          <w:rFonts w:ascii="Palatino" w:hAnsi="Palatino"/>
        </w:rPr>
        <w:t>:</w:t>
      </w:r>
    </w:p>
    <w:p w:rsidR="00AB1F9C" w:rsidRDefault="00AB1F9C" w:rsidP="00AB1F9C">
      <w:pPr>
        <w:rPr>
          <w:rFonts w:ascii="Palatino" w:hAnsi="Palatino"/>
        </w:rPr>
      </w:pPr>
    </w:p>
    <w:tbl>
      <w:tblPr>
        <w:tblW w:w="8320" w:type="dxa"/>
        <w:tblInd w:w="92" w:type="dxa"/>
        <w:tblLook w:val="0000"/>
      </w:tblPr>
      <w:tblGrid>
        <w:gridCol w:w="976"/>
        <w:gridCol w:w="1576"/>
        <w:gridCol w:w="1373"/>
        <w:gridCol w:w="1536"/>
        <w:gridCol w:w="1323"/>
        <w:gridCol w:w="1536"/>
      </w:tblGrid>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p>
        </w:tc>
        <w:tc>
          <w:tcPr>
            <w:tcW w:w="1493"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r w:rsidRPr="00B15018">
              <w:rPr>
                <w:rFonts w:ascii="Verdana" w:hAnsi="Verdana"/>
                <w:b/>
                <w:bCs/>
                <w:sz w:val="20"/>
                <w:szCs w:val="20"/>
              </w:rPr>
              <w:t>Total</w:t>
            </w:r>
          </w:p>
        </w:tc>
        <w:tc>
          <w:tcPr>
            <w:tcW w:w="1561"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r w:rsidRPr="00B15018">
              <w:rPr>
                <w:rFonts w:ascii="Verdana" w:hAnsi="Verdana"/>
                <w:b/>
                <w:bCs/>
                <w:sz w:val="20"/>
                <w:szCs w:val="20"/>
              </w:rPr>
              <w:t>Total Lot/unit</w:t>
            </w:r>
          </w:p>
        </w:tc>
        <w:tc>
          <w:tcPr>
            <w:tcW w:w="1491"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p>
        </w:tc>
        <w:tc>
          <w:tcPr>
            <w:tcW w:w="1468"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r w:rsidRPr="00B15018">
              <w:rPr>
                <w:rFonts w:ascii="Verdana" w:hAnsi="Verdana"/>
                <w:b/>
                <w:bCs/>
                <w:sz w:val="20"/>
                <w:szCs w:val="20"/>
              </w:rPr>
              <w:t>Total Lot/unit</w:t>
            </w:r>
          </w:p>
        </w:tc>
        <w:tc>
          <w:tcPr>
            <w:tcW w:w="1491"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p>
        </w:tc>
        <w:tc>
          <w:tcPr>
            <w:tcW w:w="1493"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r w:rsidRPr="00B15018">
              <w:rPr>
                <w:rFonts w:ascii="Verdana" w:hAnsi="Verdana"/>
                <w:b/>
                <w:bCs/>
                <w:sz w:val="20"/>
                <w:szCs w:val="20"/>
              </w:rPr>
              <w:t>Developable</w:t>
            </w:r>
          </w:p>
        </w:tc>
        <w:tc>
          <w:tcPr>
            <w:tcW w:w="1561"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r w:rsidRPr="00B15018">
              <w:rPr>
                <w:rFonts w:ascii="Verdana" w:hAnsi="Verdana"/>
                <w:b/>
                <w:bCs/>
                <w:sz w:val="20"/>
                <w:szCs w:val="20"/>
              </w:rPr>
              <w:t>Build-out</w:t>
            </w:r>
          </w:p>
        </w:tc>
        <w:tc>
          <w:tcPr>
            <w:tcW w:w="1491"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r w:rsidRPr="00B15018">
              <w:rPr>
                <w:rFonts w:ascii="Verdana" w:hAnsi="Verdana"/>
                <w:b/>
                <w:bCs/>
                <w:sz w:val="20"/>
                <w:szCs w:val="20"/>
              </w:rPr>
              <w:t>Percentage</w:t>
            </w:r>
          </w:p>
        </w:tc>
        <w:tc>
          <w:tcPr>
            <w:tcW w:w="1468"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r w:rsidRPr="00B15018">
              <w:rPr>
                <w:rFonts w:ascii="Verdana" w:hAnsi="Verdana"/>
                <w:b/>
                <w:bCs/>
                <w:sz w:val="20"/>
                <w:szCs w:val="20"/>
              </w:rPr>
              <w:t>Build-out</w:t>
            </w:r>
          </w:p>
        </w:tc>
        <w:tc>
          <w:tcPr>
            <w:tcW w:w="1491"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rPr>
            </w:pPr>
            <w:r w:rsidRPr="00B15018">
              <w:rPr>
                <w:rFonts w:ascii="Verdana" w:hAnsi="Verdana"/>
                <w:b/>
                <w:bCs/>
                <w:sz w:val="20"/>
                <w:szCs w:val="20"/>
              </w:rPr>
              <w:t xml:space="preserve">Percentage </w:t>
            </w: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u w:val="single"/>
              </w:rPr>
            </w:pPr>
            <w:r w:rsidRPr="00B15018">
              <w:rPr>
                <w:rFonts w:ascii="Verdana" w:hAnsi="Verdana"/>
                <w:b/>
                <w:bCs/>
                <w:sz w:val="20"/>
                <w:szCs w:val="20"/>
                <w:u w:val="single"/>
              </w:rPr>
              <w:t>Zoning</w:t>
            </w:r>
          </w:p>
        </w:tc>
        <w:tc>
          <w:tcPr>
            <w:tcW w:w="1493"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u w:val="single"/>
              </w:rPr>
            </w:pPr>
            <w:r w:rsidRPr="00B15018">
              <w:rPr>
                <w:rFonts w:ascii="Verdana" w:hAnsi="Verdana"/>
                <w:b/>
                <w:bCs/>
                <w:sz w:val="20"/>
                <w:szCs w:val="20"/>
                <w:u w:val="single"/>
              </w:rPr>
              <w:t>Area (acres)</w:t>
            </w:r>
          </w:p>
        </w:tc>
        <w:tc>
          <w:tcPr>
            <w:tcW w:w="1561"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u w:val="single"/>
              </w:rPr>
            </w:pPr>
            <w:r w:rsidRPr="00B15018">
              <w:rPr>
                <w:rFonts w:ascii="Verdana" w:hAnsi="Verdana"/>
                <w:b/>
                <w:bCs/>
                <w:sz w:val="20"/>
                <w:szCs w:val="20"/>
                <w:u w:val="single"/>
              </w:rPr>
              <w:t>Cur</w:t>
            </w:r>
            <w:r>
              <w:rPr>
                <w:rFonts w:ascii="Verdana" w:hAnsi="Verdana"/>
                <w:b/>
                <w:bCs/>
                <w:sz w:val="20"/>
                <w:szCs w:val="20"/>
                <w:u w:val="single"/>
              </w:rPr>
              <w:t>r</w:t>
            </w:r>
            <w:r w:rsidRPr="00B15018">
              <w:rPr>
                <w:rFonts w:ascii="Verdana" w:hAnsi="Verdana"/>
                <w:b/>
                <w:bCs/>
                <w:sz w:val="20"/>
                <w:szCs w:val="20"/>
                <w:u w:val="single"/>
              </w:rPr>
              <w:t>ent Zoning</w:t>
            </w:r>
          </w:p>
        </w:tc>
        <w:tc>
          <w:tcPr>
            <w:tcW w:w="1491"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u w:val="single"/>
              </w:rPr>
            </w:pPr>
            <w:r w:rsidRPr="00B15018">
              <w:rPr>
                <w:rFonts w:ascii="Verdana" w:hAnsi="Verdana"/>
                <w:b/>
                <w:bCs/>
                <w:sz w:val="20"/>
                <w:szCs w:val="20"/>
                <w:u w:val="single"/>
              </w:rPr>
              <w:t>Distribution</w:t>
            </w:r>
          </w:p>
        </w:tc>
        <w:tc>
          <w:tcPr>
            <w:tcW w:w="1468" w:type="dxa"/>
            <w:tcBorders>
              <w:top w:val="nil"/>
              <w:left w:val="nil"/>
              <w:bottom w:val="nil"/>
              <w:right w:val="nil"/>
            </w:tcBorders>
            <w:shd w:val="clear" w:color="auto" w:fill="auto"/>
            <w:noWrap/>
            <w:vAlign w:val="bottom"/>
          </w:tcPr>
          <w:p w:rsidR="00B15018" w:rsidRPr="00B15018" w:rsidRDefault="00106FA9" w:rsidP="00B15018">
            <w:pPr>
              <w:jc w:val="center"/>
              <w:rPr>
                <w:rFonts w:ascii="Verdana" w:hAnsi="Verdana"/>
                <w:b/>
                <w:bCs/>
                <w:sz w:val="20"/>
                <w:szCs w:val="20"/>
                <w:u w:val="single"/>
              </w:rPr>
            </w:pPr>
            <w:r>
              <w:rPr>
                <w:rFonts w:ascii="Verdana" w:hAnsi="Verdana"/>
                <w:b/>
                <w:bCs/>
                <w:sz w:val="20"/>
                <w:szCs w:val="20"/>
                <w:u w:val="single"/>
              </w:rPr>
              <w:t xml:space="preserve">w/ </w:t>
            </w:r>
            <w:r w:rsidR="00B15018" w:rsidRPr="00B15018">
              <w:rPr>
                <w:rFonts w:ascii="Verdana" w:hAnsi="Verdana"/>
                <w:b/>
                <w:bCs/>
                <w:sz w:val="20"/>
                <w:szCs w:val="20"/>
                <w:u w:val="single"/>
              </w:rPr>
              <w:t>Comp Plan</w:t>
            </w:r>
          </w:p>
        </w:tc>
        <w:tc>
          <w:tcPr>
            <w:tcW w:w="1491" w:type="dxa"/>
            <w:tcBorders>
              <w:top w:val="nil"/>
              <w:left w:val="nil"/>
              <w:bottom w:val="nil"/>
              <w:right w:val="nil"/>
            </w:tcBorders>
            <w:shd w:val="clear" w:color="auto" w:fill="auto"/>
            <w:noWrap/>
            <w:vAlign w:val="bottom"/>
          </w:tcPr>
          <w:p w:rsidR="00B15018" w:rsidRPr="00B15018" w:rsidRDefault="00B15018" w:rsidP="00B15018">
            <w:pPr>
              <w:jc w:val="center"/>
              <w:rPr>
                <w:rFonts w:ascii="Verdana" w:hAnsi="Verdana"/>
                <w:b/>
                <w:bCs/>
                <w:sz w:val="20"/>
                <w:szCs w:val="20"/>
                <w:u w:val="single"/>
              </w:rPr>
            </w:pPr>
            <w:r w:rsidRPr="00B15018">
              <w:rPr>
                <w:rFonts w:ascii="Verdana" w:hAnsi="Verdana"/>
                <w:b/>
                <w:bCs/>
                <w:sz w:val="20"/>
                <w:szCs w:val="20"/>
                <w:u w:val="single"/>
              </w:rPr>
              <w:t>Distribution</w:t>
            </w: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493"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561"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491"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468"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491"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r w:rsidRPr="00B15018">
              <w:rPr>
                <w:rFonts w:ascii="Verdana" w:hAnsi="Verdana"/>
                <w:sz w:val="20"/>
                <w:szCs w:val="20"/>
              </w:rPr>
              <w:t>RA</w:t>
            </w:r>
          </w:p>
        </w:tc>
        <w:tc>
          <w:tcPr>
            <w:tcW w:w="1493"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2330</w:t>
            </w:r>
          </w:p>
        </w:tc>
        <w:tc>
          <w:tcPr>
            <w:tcW w:w="156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670</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46%</w:t>
            </w:r>
          </w:p>
        </w:tc>
        <w:tc>
          <w:tcPr>
            <w:tcW w:w="1468"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670</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42%</w:t>
            </w: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7D2EC4" w:rsidRDefault="00B15018" w:rsidP="00B15018">
            <w:pPr>
              <w:rPr>
                <w:rFonts w:ascii="Verdana" w:hAnsi="Verdana"/>
                <w:sz w:val="20"/>
                <w:szCs w:val="20"/>
                <w:u w:val="wavyDouble"/>
              </w:rPr>
            </w:pPr>
            <w:r w:rsidRPr="007D2EC4">
              <w:rPr>
                <w:rFonts w:ascii="Verdana" w:hAnsi="Verdana"/>
                <w:sz w:val="20"/>
                <w:szCs w:val="20"/>
                <w:u w:val="wavyDouble"/>
              </w:rPr>
              <w:t>RB</w:t>
            </w:r>
          </w:p>
        </w:tc>
        <w:tc>
          <w:tcPr>
            <w:tcW w:w="1493" w:type="dxa"/>
            <w:tcBorders>
              <w:top w:val="nil"/>
              <w:left w:val="nil"/>
              <w:bottom w:val="nil"/>
              <w:right w:val="nil"/>
            </w:tcBorders>
            <w:shd w:val="clear" w:color="auto" w:fill="auto"/>
            <w:noWrap/>
            <w:vAlign w:val="bottom"/>
          </w:tcPr>
          <w:p w:rsidR="00B15018" w:rsidRPr="007D2EC4" w:rsidRDefault="00B15018" w:rsidP="00B15018">
            <w:pPr>
              <w:jc w:val="right"/>
              <w:rPr>
                <w:rFonts w:ascii="Verdana" w:hAnsi="Verdana"/>
                <w:sz w:val="20"/>
                <w:szCs w:val="20"/>
                <w:u w:val="wavyDouble"/>
              </w:rPr>
            </w:pPr>
            <w:r w:rsidRPr="007D2EC4">
              <w:rPr>
                <w:rFonts w:ascii="Verdana" w:hAnsi="Verdana"/>
                <w:sz w:val="20"/>
                <w:szCs w:val="20"/>
                <w:u w:val="wavyDouble"/>
              </w:rPr>
              <w:t>420</w:t>
            </w:r>
          </w:p>
        </w:tc>
        <w:tc>
          <w:tcPr>
            <w:tcW w:w="1561" w:type="dxa"/>
            <w:tcBorders>
              <w:top w:val="nil"/>
              <w:left w:val="nil"/>
              <w:bottom w:val="nil"/>
              <w:right w:val="nil"/>
            </w:tcBorders>
            <w:shd w:val="clear" w:color="auto" w:fill="auto"/>
            <w:noWrap/>
            <w:vAlign w:val="bottom"/>
          </w:tcPr>
          <w:p w:rsidR="00B15018" w:rsidRPr="007D2EC4" w:rsidRDefault="00B15018" w:rsidP="00B15018">
            <w:pPr>
              <w:jc w:val="right"/>
              <w:rPr>
                <w:rFonts w:ascii="Verdana" w:hAnsi="Verdana"/>
                <w:sz w:val="20"/>
                <w:szCs w:val="20"/>
                <w:u w:val="wavyDouble"/>
              </w:rPr>
            </w:pPr>
            <w:r w:rsidRPr="007D2EC4">
              <w:rPr>
                <w:rFonts w:ascii="Verdana" w:hAnsi="Verdana"/>
                <w:sz w:val="20"/>
                <w:szCs w:val="20"/>
                <w:u w:val="wavyDouble"/>
              </w:rPr>
              <w:t>260</w:t>
            </w:r>
          </w:p>
        </w:tc>
        <w:tc>
          <w:tcPr>
            <w:tcW w:w="1491" w:type="dxa"/>
            <w:tcBorders>
              <w:top w:val="nil"/>
              <w:left w:val="nil"/>
              <w:bottom w:val="nil"/>
              <w:right w:val="nil"/>
            </w:tcBorders>
            <w:shd w:val="clear" w:color="auto" w:fill="auto"/>
            <w:noWrap/>
            <w:vAlign w:val="bottom"/>
          </w:tcPr>
          <w:p w:rsidR="00B15018" w:rsidRPr="007D2EC4" w:rsidRDefault="00B15018" w:rsidP="00B15018">
            <w:pPr>
              <w:jc w:val="right"/>
              <w:rPr>
                <w:rFonts w:ascii="Verdana" w:hAnsi="Verdana"/>
                <w:sz w:val="20"/>
                <w:szCs w:val="20"/>
                <w:u w:val="wavyDouble"/>
              </w:rPr>
            </w:pPr>
            <w:r w:rsidRPr="007D2EC4">
              <w:rPr>
                <w:rFonts w:ascii="Verdana" w:hAnsi="Verdana"/>
                <w:sz w:val="20"/>
                <w:szCs w:val="20"/>
                <w:u w:val="wavyDouble"/>
              </w:rPr>
              <w:t>18%</w:t>
            </w:r>
          </w:p>
        </w:tc>
        <w:tc>
          <w:tcPr>
            <w:tcW w:w="1468" w:type="dxa"/>
            <w:tcBorders>
              <w:top w:val="nil"/>
              <w:left w:val="nil"/>
              <w:bottom w:val="nil"/>
              <w:right w:val="nil"/>
            </w:tcBorders>
            <w:shd w:val="clear" w:color="auto" w:fill="auto"/>
            <w:noWrap/>
            <w:vAlign w:val="bottom"/>
          </w:tcPr>
          <w:p w:rsidR="00B15018" w:rsidRPr="007D2EC4" w:rsidRDefault="00B15018" w:rsidP="00B15018">
            <w:pPr>
              <w:jc w:val="right"/>
              <w:rPr>
                <w:rFonts w:ascii="Verdana" w:hAnsi="Verdana"/>
                <w:sz w:val="20"/>
                <w:szCs w:val="20"/>
                <w:u w:val="wavyDouble"/>
              </w:rPr>
            </w:pPr>
            <w:r w:rsidRPr="007D2EC4">
              <w:rPr>
                <w:rFonts w:ascii="Verdana" w:hAnsi="Verdana"/>
                <w:sz w:val="20"/>
                <w:szCs w:val="20"/>
                <w:u w:val="wavyDouble"/>
              </w:rPr>
              <w:t>400</w:t>
            </w:r>
          </w:p>
        </w:tc>
        <w:tc>
          <w:tcPr>
            <w:tcW w:w="1491" w:type="dxa"/>
            <w:tcBorders>
              <w:top w:val="nil"/>
              <w:left w:val="nil"/>
              <w:bottom w:val="nil"/>
              <w:right w:val="nil"/>
            </w:tcBorders>
            <w:shd w:val="clear" w:color="auto" w:fill="auto"/>
            <w:noWrap/>
            <w:vAlign w:val="bottom"/>
          </w:tcPr>
          <w:p w:rsidR="00B15018" w:rsidRPr="007D2EC4" w:rsidRDefault="00B15018" w:rsidP="00B15018">
            <w:pPr>
              <w:jc w:val="right"/>
              <w:rPr>
                <w:rFonts w:ascii="Verdana" w:hAnsi="Verdana"/>
                <w:sz w:val="20"/>
                <w:szCs w:val="20"/>
                <w:u w:val="wavyDouble"/>
              </w:rPr>
            </w:pPr>
            <w:r w:rsidRPr="007D2EC4">
              <w:rPr>
                <w:rFonts w:ascii="Verdana" w:hAnsi="Verdana"/>
                <w:sz w:val="20"/>
                <w:szCs w:val="20"/>
                <w:u w:val="wavyDouble"/>
              </w:rPr>
              <w:t>25%</w:t>
            </w: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r w:rsidRPr="00B15018">
              <w:rPr>
                <w:rFonts w:ascii="Verdana" w:hAnsi="Verdana"/>
                <w:sz w:val="20"/>
                <w:szCs w:val="20"/>
              </w:rPr>
              <w:t>RC</w:t>
            </w:r>
          </w:p>
        </w:tc>
        <w:tc>
          <w:tcPr>
            <w:tcW w:w="1493"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210</w:t>
            </w:r>
          </w:p>
        </w:tc>
        <w:tc>
          <w:tcPr>
            <w:tcW w:w="156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450</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31%</w:t>
            </w:r>
          </w:p>
        </w:tc>
        <w:tc>
          <w:tcPr>
            <w:tcW w:w="1468"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450</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28%</w:t>
            </w: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r w:rsidRPr="00B15018">
              <w:rPr>
                <w:rFonts w:ascii="Verdana" w:hAnsi="Verdana"/>
                <w:sz w:val="20"/>
                <w:szCs w:val="20"/>
              </w:rPr>
              <w:t>TC</w:t>
            </w:r>
          </w:p>
        </w:tc>
        <w:tc>
          <w:tcPr>
            <w:tcW w:w="1493"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10</w:t>
            </w:r>
          </w:p>
        </w:tc>
        <w:tc>
          <w:tcPr>
            <w:tcW w:w="156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50</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3%</w:t>
            </w:r>
          </w:p>
        </w:tc>
        <w:tc>
          <w:tcPr>
            <w:tcW w:w="1468"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50</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3%</w:t>
            </w: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r w:rsidRPr="00B15018">
              <w:rPr>
                <w:rFonts w:ascii="Verdana" w:hAnsi="Verdana"/>
                <w:sz w:val="20"/>
                <w:szCs w:val="20"/>
              </w:rPr>
              <w:t>BA</w:t>
            </w:r>
          </w:p>
        </w:tc>
        <w:tc>
          <w:tcPr>
            <w:tcW w:w="1493"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1</w:t>
            </w:r>
          </w:p>
        </w:tc>
        <w:tc>
          <w:tcPr>
            <w:tcW w:w="156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3</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0%</w:t>
            </w:r>
          </w:p>
        </w:tc>
        <w:tc>
          <w:tcPr>
            <w:tcW w:w="1468"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5</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0%</w:t>
            </w: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r w:rsidRPr="00B15018">
              <w:rPr>
                <w:rFonts w:ascii="Verdana" w:hAnsi="Verdana"/>
                <w:sz w:val="20"/>
                <w:szCs w:val="20"/>
              </w:rPr>
              <w:t>BB</w:t>
            </w:r>
          </w:p>
        </w:tc>
        <w:tc>
          <w:tcPr>
            <w:tcW w:w="1493"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30</w:t>
            </w:r>
          </w:p>
        </w:tc>
        <w:tc>
          <w:tcPr>
            <w:tcW w:w="156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20</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1%</w:t>
            </w:r>
          </w:p>
        </w:tc>
        <w:tc>
          <w:tcPr>
            <w:tcW w:w="1468"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20</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1%</w:t>
            </w: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493"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561"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491"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468"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491"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r>
      <w:tr w:rsidR="00B15018" w:rsidRPr="00B15018">
        <w:trPr>
          <w:trHeight w:val="260"/>
        </w:trPr>
        <w:tc>
          <w:tcPr>
            <w:tcW w:w="816"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493" w:type="dxa"/>
            <w:tcBorders>
              <w:top w:val="nil"/>
              <w:left w:val="nil"/>
              <w:bottom w:val="nil"/>
              <w:right w:val="nil"/>
            </w:tcBorders>
            <w:shd w:val="clear" w:color="auto" w:fill="auto"/>
            <w:noWrap/>
            <w:vAlign w:val="bottom"/>
          </w:tcPr>
          <w:p w:rsidR="00B15018" w:rsidRPr="00B15018" w:rsidRDefault="00B15018" w:rsidP="00B15018">
            <w:pPr>
              <w:rPr>
                <w:rFonts w:ascii="Verdana" w:hAnsi="Verdana"/>
                <w:sz w:val="20"/>
                <w:szCs w:val="20"/>
              </w:rPr>
            </w:pPr>
          </w:p>
        </w:tc>
        <w:tc>
          <w:tcPr>
            <w:tcW w:w="156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1453</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100%</w:t>
            </w:r>
          </w:p>
        </w:tc>
        <w:tc>
          <w:tcPr>
            <w:tcW w:w="1468"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1595</w:t>
            </w:r>
          </w:p>
        </w:tc>
        <w:tc>
          <w:tcPr>
            <w:tcW w:w="1491" w:type="dxa"/>
            <w:tcBorders>
              <w:top w:val="nil"/>
              <w:left w:val="nil"/>
              <w:bottom w:val="nil"/>
              <w:right w:val="nil"/>
            </w:tcBorders>
            <w:shd w:val="clear" w:color="auto" w:fill="auto"/>
            <w:noWrap/>
            <w:vAlign w:val="bottom"/>
          </w:tcPr>
          <w:p w:rsidR="00B15018" w:rsidRPr="00B15018" w:rsidRDefault="00B15018" w:rsidP="00B15018">
            <w:pPr>
              <w:jc w:val="right"/>
              <w:rPr>
                <w:rFonts w:ascii="Verdana" w:hAnsi="Verdana"/>
                <w:sz w:val="20"/>
                <w:szCs w:val="20"/>
              </w:rPr>
            </w:pPr>
            <w:r w:rsidRPr="00B15018">
              <w:rPr>
                <w:rFonts w:ascii="Verdana" w:hAnsi="Verdana"/>
                <w:sz w:val="20"/>
                <w:szCs w:val="20"/>
              </w:rPr>
              <w:t>100%</w:t>
            </w:r>
          </w:p>
        </w:tc>
      </w:tr>
      <w:tr w:rsidR="007D2EC4" w:rsidRPr="00B15018">
        <w:trPr>
          <w:trHeight w:val="260"/>
        </w:trPr>
        <w:tc>
          <w:tcPr>
            <w:tcW w:w="816" w:type="dxa"/>
            <w:tcBorders>
              <w:top w:val="nil"/>
              <w:left w:val="nil"/>
              <w:bottom w:val="nil"/>
              <w:right w:val="nil"/>
            </w:tcBorders>
            <w:shd w:val="clear" w:color="auto" w:fill="auto"/>
            <w:noWrap/>
            <w:vAlign w:val="bottom"/>
          </w:tcPr>
          <w:p w:rsidR="007D2EC4" w:rsidRPr="00B15018" w:rsidRDefault="007D2EC4" w:rsidP="00B15018">
            <w:pPr>
              <w:rPr>
                <w:rFonts w:ascii="Verdana" w:hAnsi="Verdana"/>
                <w:sz w:val="20"/>
                <w:szCs w:val="20"/>
              </w:rPr>
            </w:pPr>
          </w:p>
        </w:tc>
        <w:tc>
          <w:tcPr>
            <w:tcW w:w="1493" w:type="dxa"/>
            <w:tcBorders>
              <w:top w:val="nil"/>
              <w:left w:val="nil"/>
              <w:bottom w:val="nil"/>
              <w:right w:val="nil"/>
            </w:tcBorders>
            <w:shd w:val="clear" w:color="auto" w:fill="auto"/>
            <w:noWrap/>
            <w:vAlign w:val="bottom"/>
          </w:tcPr>
          <w:p w:rsidR="007D2EC4" w:rsidRPr="00B15018" w:rsidRDefault="007D2EC4" w:rsidP="00B15018">
            <w:pPr>
              <w:rPr>
                <w:rFonts w:ascii="Verdana" w:hAnsi="Verdana"/>
                <w:sz w:val="20"/>
                <w:szCs w:val="20"/>
              </w:rPr>
            </w:pPr>
          </w:p>
        </w:tc>
        <w:tc>
          <w:tcPr>
            <w:tcW w:w="1561" w:type="dxa"/>
            <w:tcBorders>
              <w:top w:val="nil"/>
              <w:left w:val="nil"/>
              <w:bottom w:val="nil"/>
              <w:right w:val="nil"/>
            </w:tcBorders>
            <w:shd w:val="clear" w:color="auto" w:fill="auto"/>
            <w:noWrap/>
            <w:vAlign w:val="bottom"/>
          </w:tcPr>
          <w:p w:rsidR="007D2EC4" w:rsidRPr="00B15018" w:rsidRDefault="007D2EC4" w:rsidP="00B15018">
            <w:pPr>
              <w:jc w:val="right"/>
              <w:rPr>
                <w:rFonts w:ascii="Verdana" w:hAnsi="Verdana"/>
                <w:sz w:val="20"/>
                <w:szCs w:val="20"/>
              </w:rPr>
            </w:pPr>
          </w:p>
        </w:tc>
        <w:tc>
          <w:tcPr>
            <w:tcW w:w="1491" w:type="dxa"/>
            <w:tcBorders>
              <w:top w:val="nil"/>
              <w:left w:val="nil"/>
              <w:bottom w:val="nil"/>
              <w:right w:val="nil"/>
            </w:tcBorders>
            <w:shd w:val="clear" w:color="auto" w:fill="auto"/>
            <w:noWrap/>
            <w:vAlign w:val="bottom"/>
          </w:tcPr>
          <w:p w:rsidR="007D2EC4" w:rsidRPr="00B15018" w:rsidRDefault="007D2EC4" w:rsidP="00B15018">
            <w:pPr>
              <w:jc w:val="right"/>
              <w:rPr>
                <w:rFonts w:ascii="Verdana" w:hAnsi="Verdana"/>
                <w:sz w:val="20"/>
                <w:szCs w:val="20"/>
              </w:rPr>
            </w:pPr>
          </w:p>
        </w:tc>
        <w:tc>
          <w:tcPr>
            <w:tcW w:w="1468" w:type="dxa"/>
            <w:tcBorders>
              <w:top w:val="nil"/>
              <w:left w:val="nil"/>
              <w:bottom w:val="nil"/>
              <w:right w:val="nil"/>
            </w:tcBorders>
            <w:shd w:val="clear" w:color="auto" w:fill="auto"/>
            <w:noWrap/>
            <w:vAlign w:val="bottom"/>
          </w:tcPr>
          <w:p w:rsidR="007D2EC4" w:rsidRPr="00B15018" w:rsidRDefault="007D2EC4" w:rsidP="00B15018">
            <w:pPr>
              <w:jc w:val="right"/>
              <w:rPr>
                <w:rFonts w:ascii="Verdana" w:hAnsi="Verdana"/>
                <w:sz w:val="20"/>
                <w:szCs w:val="20"/>
              </w:rPr>
            </w:pPr>
          </w:p>
        </w:tc>
        <w:tc>
          <w:tcPr>
            <w:tcW w:w="1491" w:type="dxa"/>
            <w:tcBorders>
              <w:top w:val="nil"/>
              <w:left w:val="nil"/>
              <w:bottom w:val="nil"/>
              <w:right w:val="nil"/>
            </w:tcBorders>
            <w:shd w:val="clear" w:color="auto" w:fill="auto"/>
            <w:noWrap/>
            <w:vAlign w:val="bottom"/>
          </w:tcPr>
          <w:p w:rsidR="007D2EC4" w:rsidRPr="00B15018" w:rsidRDefault="007D2EC4" w:rsidP="00B15018">
            <w:pPr>
              <w:jc w:val="right"/>
              <w:rPr>
                <w:rFonts w:ascii="Verdana" w:hAnsi="Verdana"/>
                <w:sz w:val="20"/>
                <w:szCs w:val="20"/>
              </w:rPr>
            </w:pPr>
          </w:p>
        </w:tc>
      </w:tr>
    </w:tbl>
    <w:p w:rsidR="007D2EC4" w:rsidRDefault="007D2EC4" w:rsidP="004F753B">
      <w:pPr>
        <w:rPr>
          <w:rFonts w:ascii="Palatino" w:hAnsi="Palatino"/>
        </w:rPr>
      </w:pPr>
    </w:p>
    <w:p w:rsidR="007D2EC4" w:rsidRDefault="007D2EC4" w:rsidP="004F753B">
      <w:pPr>
        <w:rPr>
          <w:rFonts w:ascii="Palatino" w:hAnsi="Palatino"/>
        </w:rPr>
      </w:pPr>
    </w:p>
    <w:p w:rsidR="00383171" w:rsidRDefault="007D2EC4" w:rsidP="004F753B">
      <w:pPr>
        <w:rPr>
          <w:rFonts w:ascii="Palatino" w:hAnsi="Palatino"/>
        </w:rPr>
      </w:pPr>
      <w:r>
        <w:rPr>
          <w:rFonts w:ascii="Palatino" w:hAnsi="Palatino"/>
        </w:rPr>
        <w:t xml:space="preserve">If you concur that directing </w:t>
      </w:r>
      <w:r w:rsidR="00E42088">
        <w:rPr>
          <w:rFonts w:ascii="Palatino" w:hAnsi="Palatino"/>
        </w:rPr>
        <w:t>new development</w:t>
      </w:r>
      <w:r>
        <w:rPr>
          <w:rFonts w:ascii="Palatino" w:hAnsi="Palatino"/>
        </w:rPr>
        <w:t xml:space="preserve"> to growth areas is a good policy, the comprehensive plan recommendations are consistent with that policy by shifting overall growth to the RB District and </w:t>
      </w:r>
      <w:r w:rsidR="00106FA9">
        <w:rPr>
          <w:rFonts w:ascii="Palatino" w:hAnsi="Palatino"/>
        </w:rPr>
        <w:t>reducing the percentage of total</w:t>
      </w:r>
      <w:r>
        <w:rPr>
          <w:rFonts w:ascii="Palatino" w:hAnsi="Palatino"/>
        </w:rPr>
        <w:t xml:space="preserve"> growth in the RA.</w:t>
      </w:r>
      <w:r w:rsidR="00106FA9">
        <w:rPr>
          <w:rFonts w:ascii="Palatino" w:hAnsi="Palatino"/>
        </w:rPr>
        <w:t xml:space="preserve"> As a reference, the town currently has a total of 4,384 lots, of which 3,712 are residentially developed.</w:t>
      </w:r>
    </w:p>
    <w:p w:rsidR="00383171" w:rsidRDefault="00383171" w:rsidP="004F753B">
      <w:pPr>
        <w:rPr>
          <w:rFonts w:ascii="Palatino" w:hAnsi="Palatino"/>
        </w:rPr>
      </w:pPr>
    </w:p>
    <w:p w:rsidR="00383171" w:rsidRDefault="00383171" w:rsidP="004F753B">
      <w:pPr>
        <w:rPr>
          <w:rFonts w:ascii="Palatino" w:hAnsi="Palatino"/>
        </w:rPr>
      </w:pPr>
      <w:r>
        <w:rPr>
          <w:rFonts w:ascii="Palatino" w:hAnsi="Palatino"/>
        </w:rPr>
        <w:t>5.</w:t>
      </w:r>
      <w:r>
        <w:rPr>
          <w:rFonts w:ascii="Palatino" w:hAnsi="Palatino"/>
        </w:rPr>
        <w:tab/>
        <w:t>Typical Neighborhood Densities</w:t>
      </w:r>
    </w:p>
    <w:p w:rsidR="00383171" w:rsidRDefault="00383171" w:rsidP="004F753B">
      <w:pPr>
        <w:rPr>
          <w:rFonts w:ascii="Palatino" w:hAnsi="Palatino"/>
        </w:rPr>
      </w:pPr>
    </w:p>
    <w:p w:rsidR="006D6049" w:rsidRDefault="006D6049" w:rsidP="004F753B">
      <w:pPr>
        <w:rPr>
          <w:rFonts w:ascii="Palatino" w:hAnsi="Palatino"/>
        </w:rPr>
      </w:pPr>
      <w:r>
        <w:rPr>
          <w:rFonts w:ascii="Palatino" w:hAnsi="Palatino"/>
        </w:rPr>
        <w:t>Ordinance Committee members asked for a reference point from which to visualize density. Below is a list of randomly selected neighborhoods and the average lot size in those neighborhoods</w:t>
      </w:r>
      <w:r w:rsidR="00A47641">
        <w:rPr>
          <w:rFonts w:ascii="Palatino" w:hAnsi="Palatino"/>
        </w:rPr>
        <w:t>, listed from smallest to largest average lot size</w:t>
      </w:r>
      <w:r>
        <w:rPr>
          <w:rFonts w:ascii="Palatino" w:hAnsi="Palatino"/>
        </w:rPr>
        <w:t>. Maps of the neighborhoods are also attached.</w:t>
      </w:r>
    </w:p>
    <w:p w:rsidR="006D6049" w:rsidRDefault="006D6049" w:rsidP="004F753B">
      <w:pPr>
        <w:rPr>
          <w:rFonts w:ascii="Palatino" w:hAnsi="Palatino"/>
        </w:rPr>
      </w:pPr>
    </w:p>
    <w:p w:rsidR="006D6049" w:rsidRDefault="006D6049" w:rsidP="006D6049">
      <w:pPr>
        <w:tabs>
          <w:tab w:val="left" w:pos="2880"/>
        </w:tabs>
        <w:rPr>
          <w:rFonts w:ascii="Palatino" w:hAnsi="Palatino"/>
        </w:rPr>
      </w:pPr>
      <w:r w:rsidRPr="006D6049">
        <w:rPr>
          <w:rFonts w:ascii="Palatino" w:hAnsi="Palatino"/>
          <w:u w:val="single"/>
        </w:rPr>
        <w:t>Neighborhood</w:t>
      </w:r>
      <w:r>
        <w:rPr>
          <w:rFonts w:ascii="Palatino" w:hAnsi="Palatino"/>
        </w:rPr>
        <w:tab/>
      </w:r>
      <w:r w:rsidRPr="006D6049">
        <w:rPr>
          <w:rFonts w:ascii="Palatino" w:hAnsi="Palatino"/>
          <w:u w:val="single"/>
        </w:rPr>
        <w:t>Average lot size</w:t>
      </w:r>
    </w:p>
    <w:p w:rsidR="006D6049" w:rsidRDefault="006D6049" w:rsidP="006D6049">
      <w:pPr>
        <w:tabs>
          <w:tab w:val="left" w:pos="2880"/>
        </w:tabs>
        <w:rPr>
          <w:rFonts w:ascii="Palatino" w:hAnsi="Palatino"/>
        </w:rPr>
      </w:pPr>
    </w:p>
    <w:p w:rsidR="004618C8" w:rsidRDefault="006D6049" w:rsidP="006D6049">
      <w:pPr>
        <w:tabs>
          <w:tab w:val="right" w:pos="4320"/>
        </w:tabs>
        <w:rPr>
          <w:rFonts w:ascii="Palatino" w:hAnsi="Palatino"/>
        </w:rPr>
      </w:pPr>
      <w:r>
        <w:rPr>
          <w:rFonts w:ascii="Palatino" w:hAnsi="Palatino"/>
        </w:rPr>
        <w:t>Elizabeth Park</w:t>
      </w:r>
      <w:r>
        <w:rPr>
          <w:rFonts w:ascii="Palatino" w:hAnsi="Palatino"/>
        </w:rPr>
        <w:tab/>
        <w:t>8,023 sq. ft.</w:t>
      </w:r>
    </w:p>
    <w:p w:rsidR="004618C8" w:rsidRDefault="004618C8" w:rsidP="004618C8">
      <w:pPr>
        <w:tabs>
          <w:tab w:val="right" w:pos="4320"/>
        </w:tabs>
        <w:rPr>
          <w:rFonts w:ascii="Palatino" w:hAnsi="Palatino"/>
        </w:rPr>
      </w:pPr>
      <w:r>
        <w:rPr>
          <w:rFonts w:ascii="Palatino" w:hAnsi="Palatino"/>
        </w:rPr>
        <w:t>Mountainview</w:t>
      </w:r>
      <w:r>
        <w:rPr>
          <w:rFonts w:ascii="Palatino" w:hAnsi="Palatino"/>
        </w:rPr>
        <w:tab/>
        <w:t>12,211 sq. ft.</w:t>
      </w:r>
    </w:p>
    <w:p w:rsidR="006D6049" w:rsidRDefault="004618C8" w:rsidP="006D6049">
      <w:pPr>
        <w:tabs>
          <w:tab w:val="right" w:pos="4320"/>
        </w:tabs>
        <w:rPr>
          <w:rFonts w:ascii="Palatino" w:hAnsi="Palatino"/>
        </w:rPr>
      </w:pPr>
      <w:r>
        <w:rPr>
          <w:rFonts w:ascii="Palatino" w:hAnsi="Palatino"/>
        </w:rPr>
        <w:t>Hampton</w:t>
      </w:r>
      <w:r>
        <w:rPr>
          <w:rFonts w:ascii="Palatino" w:hAnsi="Palatino"/>
        </w:rPr>
        <w:tab/>
        <w:t>14,831</w:t>
      </w:r>
      <w:r w:rsidR="006D6049">
        <w:rPr>
          <w:rFonts w:ascii="Palatino" w:hAnsi="Palatino"/>
        </w:rPr>
        <w:t xml:space="preserve"> sq. ft.</w:t>
      </w:r>
    </w:p>
    <w:p w:rsidR="00E42088" w:rsidRDefault="006D6049" w:rsidP="006D6049">
      <w:pPr>
        <w:tabs>
          <w:tab w:val="right" w:pos="4320"/>
        </w:tabs>
        <w:rPr>
          <w:rFonts w:ascii="Palatino" w:hAnsi="Palatino"/>
        </w:rPr>
      </w:pPr>
      <w:r>
        <w:rPr>
          <w:rFonts w:ascii="Palatino" w:hAnsi="Palatino"/>
        </w:rPr>
        <w:t>Leighton Farms</w:t>
      </w:r>
      <w:r>
        <w:rPr>
          <w:rFonts w:ascii="Palatino" w:hAnsi="Palatino"/>
        </w:rPr>
        <w:tab/>
        <w:t>14,922 sq</w:t>
      </w:r>
      <w:r w:rsidR="004618C8">
        <w:rPr>
          <w:rFonts w:ascii="Palatino" w:hAnsi="Palatino"/>
        </w:rPr>
        <w:t>.</w:t>
      </w:r>
      <w:r>
        <w:rPr>
          <w:rFonts w:ascii="Palatino" w:hAnsi="Palatino"/>
        </w:rPr>
        <w:t xml:space="preserve"> ft.</w:t>
      </w:r>
    </w:p>
    <w:p w:rsidR="00120041" w:rsidRDefault="00E42088" w:rsidP="00E42088">
      <w:pPr>
        <w:tabs>
          <w:tab w:val="right" w:pos="4320"/>
        </w:tabs>
        <w:rPr>
          <w:rFonts w:ascii="Palatino" w:hAnsi="Palatino"/>
        </w:rPr>
      </w:pPr>
      <w:r>
        <w:rPr>
          <w:rFonts w:ascii="Palatino" w:hAnsi="Palatino"/>
        </w:rPr>
        <w:t>Shore Acres</w:t>
      </w:r>
      <w:r>
        <w:rPr>
          <w:rFonts w:ascii="Palatino" w:hAnsi="Palatino"/>
        </w:rPr>
        <w:tab/>
        <w:t>23,427 sq. ft.</w:t>
      </w:r>
    </w:p>
    <w:p w:rsidR="00E42088" w:rsidRDefault="00120041" w:rsidP="00E42088">
      <w:pPr>
        <w:tabs>
          <w:tab w:val="right" w:pos="4320"/>
        </w:tabs>
        <w:rPr>
          <w:rFonts w:ascii="Palatino" w:hAnsi="Palatino"/>
        </w:rPr>
      </w:pPr>
      <w:r>
        <w:rPr>
          <w:rFonts w:ascii="Palatino" w:hAnsi="Palatino"/>
        </w:rPr>
        <w:t>Olde Colony Ln</w:t>
      </w:r>
      <w:r>
        <w:rPr>
          <w:rFonts w:ascii="Palatino" w:hAnsi="Palatino"/>
        </w:rPr>
        <w:tab/>
        <w:t>24,295 sq. ft.</w:t>
      </w:r>
    </w:p>
    <w:p w:rsidR="00120041" w:rsidRDefault="006D6049" w:rsidP="006D6049">
      <w:pPr>
        <w:tabs>
          <w:tab w:val="right" w:pos="4320"/>
        </w:tabs>
        <w:rPr>
          <w:rFonts w:ascii="Palatino" w:hAnsi="Palatino"/>
        </w:rPr>
      </w:pPr>
      <w:r>
        <w:rPr>
          <w:rFonts w:ascii="Palatino" w:hAnsi="Palatino"/>
        </w:rPr>
        <w:t>Sherwood Forest</w:t>
      </w:r>
      <w:r>
        <w:rPr>
          <w:rFonts w:ascii="Palatino" w:hAnsi="Palatino"/>
        </w:rPr>
        <w:tab/>
        <w:t>25,984 sq. ft.</w:t>
      </w:r>
    </w:p>
    <w:p w:rsidR="00120041" w:rsidRDefault="00120041" w:rsidP="006D6049">
      <w:pPr>
        <w:tabs>
          <w:tab w:val="right" w:pos="4320"/>
        </w:tabs>
        <w:rPr>
          <w:rFonts w:ascii="Palatino" w:hAnsi="Palatino"/>
        </w:rPr>
      </w:pPr>
      <w:r>
        <w:rPr>
          <w:rFonts w:ascii="Palatino" w:hAnsi="Palatino"/>
        </w:rPr>
        <w:t>Stonegate I-III</w:t>
      </w:r>
      <w:r>
        <w:rPr>
          <w:rFonts w:ascii="Palatino" w:hAnsi="Palatino"/>
        </w:rPr>
        <w:tab/>
        <w:t>45,206 sq. ft.</w:t>
      </w:r>
    </w:p>
    <w:p w:rsidR="00120041" w:rsidRDefault="00120041" w:rsidP="006D6049">
      <w:pPr>
        <w:tabs>
          <w:tab w:val="right" w:pos="4320"/>
        </w:tabs>
        <w:rPr>
          <w:rFonts w:ascii="Palatino" w:hAnsi="Palatino"/>
        </w:rPr>
      </w:pPr>
      <w:r>
        <w:rPr>
          <w:rFonts w:ascii="Palatino" w:hAnsi="Palatino"/>
        </w:rPr>
        <w:t>Stonegate IV</w:t>
      </w:r>
      <w:r>
        <w:rPr>
          <w:rFonts w:ascii="Palatino" w:hAnsi="Palatino"/>
        </w:rPr>
        <w:tab/>
        <w:t>71,358 sq. ft.</w:t>
      </w:r>
    </w:p>
    <w:p w:rsidR="006D6049" w:rsidRDefault="00120041" w:rsidP="006D6049">
      <w:pPr>
        <w:tabs>
          <w:tab w:val="right" w:pos="4320"/>
        </w:tabs>
        <w:rPr>
          <w:rFonts w:ascii="Palatino" w:hAnsi="Palatino"/>
        </w:rPr>
      </w:pPr>
      <w:r>
        <w:rPr>
          <w:rFonts w:ascii="Palatino" w:hAnsi="Palatino"/>
        </w:rPr>
        <w:t>Elizabeth Farms</w:t>
      </w:r>
      <w:r>
        <w:rPr>
          <w:rFonts w:ascii="Palatino" w:hAnsi="Palatino"/>
        </w:rPr>
        <w:tab/>
        <w:t>100,327 sq. ft.</w:t>
      </w:r>
    </w:p>
    <w:p w:rsidR="00120041" w:rsidRDefault="004618C8" w:rsidP="004618C8">
      <w:pPr>
        <w:tabs>
          <w:tab w:val="right" w:pos="4320"/>
        </w:tabs>
        <w:rPr>
          <w:rFonts w:ascii="Palatino" w:hAnsi="Palatino"/>
        </w:rPr>
      </w:pPr>
      <w:r>
        <w:rPr>
          <w:rFonts w:ascii="Palatino" w:hAnsi="Palatino"/>
        </w:rPr>
        <w:t>Cranbrook</w:t>
      </w:r>
      <w:r>
        <w:rPr>
          <w:rFonts w:ascii="Palatino" w:hAnsi="Palatino"/>
        </w:rPr>
        <w:tab/>
        <w:t>135,453 sq. ft.</w:t>
      </w:r>
    </w:p>
    <w:p w:rsidR="00A47641" w:rsidRDefault="00120041" w:rsidP="004618C8">
      <w:pPr>
        <w:tabs>
          <w:tab w:val="right" w:pos="4320"/>
        </w:tabs>
        <w:rPr>
          <w:rFonts w:ascii="Palatino" w:hAnsi="Palatino"/>
        </w:rPr>
      </w:pPr>
      <w:r>
        <w:rPr>
          <w:rFonts w:ascii="Palatino" w:hAnsi="Palatino"/>
        </w:rPr>
        <w:t>Dyer Pond</w:t>
      </w:r>
      <w:r>
        <w:rPr>
          <w:rFonts w:ascii="Palatino" w:hAnsi="Palatino"/>
        </w:rPr>
        <w:tab/>
        <w:t>314,394 sq. ft.</w:t>
      </w:r>
    </w:p>
    <w:p w:rsidR="00A47641" w:rsidRDefault="00A47641" w:rsidP="004618C8">
      <w:pPr>
        <w:tabs>
          <w:tab w:val="right" w:pos="4320"/>
        </w:tabs>
        <w:rPr>
          <w:rFonts w:ascii="Palatino" w:hAnsi="Palatino"/>
        </w:rPr>
      </w:pPr>
    </w:p>
    <w:p w:rsidR="00693D2D" w:rsidRDefault="00A47641" w:rsidP="004618C8">
      <w:pPr>
        <w:tabs>
          <w:tab w:val="right" w:pos="4320"/>
        </w:tabs>
        <w:rPr>
          <w:rFonts w:ascii="Palatino" w:hAnsi="Palatino"/>
        </w:rPr>
      </w:pPr>
      <w:r>
        <w:rPr>
          <w:rFonts w:ascii="Palatino" w:hAnsi="Palatino"/>
        </w:rPr>
        <w:t xml:space="preserve">Stonegate was included in two parts because it provides a unique example of how development is influenced by the availability of public sewer. It should also be noted that some of these neighborhoods </w:t>
      </w:r>
      <w:r w:rsidR="00693D2D">
        <w:rPr>
          <w:rFonts w:ascii="Palatino" w:hAnsi="Palatino"/>
        </w:rPr>
        <w:t>were created with substantial additions to the town owned permanently protected open space inventory.</w:t>
      </w:r>
    </w:p>
    <w:p w:rsidR="00693D2D" w:rsidRDefault="00693D2D" w:rsidP="004618C8">
      <w:pPr>
        <w:tabs>
          <w:tab w:val="right" w:pos="4320"/>
        </w:tabs>
        <w:rPr>
          <w:rFonts w:ascii="Palatino" w:hAnsi="Palatino"/>
        </w:rPr>
      </w:pPr>
    </w:p>
    <w:p w:rsidR="003E1F58" w:rsidRDefault="00693D2D" w:rsidP="004618C8">
      <w:pPr>
        <w:tabs>
          <w:tab w:val="right" w:pos="4320"/>
        </w:tabs>
        <w:rPr>
          <w:rFonts w:ascii="Palatino" w:hAnsi="Palatino"/>
        </w:rPr>
      </w:pPr>
      <w:r>
        <w:rPr>
          <w:rFonts w:ascii="Palatino" w:hAnsi="Palatino"/>
        </w:rPr>
        <w:t>As part of the Ordinance Committee’s density discussion, the committee may also want to reference the February 16, 2011 memo that compared clustered and traditional subdivisions.</w:t>
      </w:r>
    </w:p>
    <w:p w:rsidR="004618C8" w:rsidRDefault="004618C8" w:rsidP="004618C8">
      <w:pPr>
        <w:tabs>
          <w:tab w:val="right" w:pos="4320"/>
        </w:tabs>
        <w:rPr>
          <w:rFonts w:ascii="Palatino" w:hAnsi="Palatino"/>
        </w:rPr>
      </w:pPr>
    </w:p>
    <w:p w:rsidR="00106FA9" w:rsidRDefault="00106FA9" w:rsidP="006D6049">
      <w:pPr>
        <w:tabs>
          <w:tab w:val="right" w:pos="4320"/>
        </w:tabs>
        <w:rPr>
          <w:rFonts w:ascii="Palatino" w:hAnsi="Palatino"/>
        </w:rPr>
      </w:pPr>
    </w:p>
    <w:p w:rsidR="00106FA9" w:rsidRDefault="00106FA9" w:rsidP="006D6049">
      <w:pPr>
        <w:tabs>
          <w:tab w:val="right" w:pos="4320"/>
        </w:tabs>
        <w:rPr>
          <w:rFonts w:ascii="Palatino" w:hAnsi="Palatino"/>
        </w:rPr>
      </w:pPr>
    </w:p>
    <w:p w:rsidR="00725475" w:rsidRPr="004F753B" w:rsidRDefault="006D6049" w:rsidP="006D6049">
      <w:pPr>
        <w:tabs>
          <w:tab w:val="right" w:pos="4320"/>
        </w:tabs>
        <w:rPr>
          <w:rFonts w:ascii="Palatino" w:hAnsi="Palatino"/>
        </w:rPr>
      </w:pPr>
      <w:r>
        <w:rPr>
          <w:rFonts w:ascii="Palatino" w:hAnsi="Palatino"/>
        </w:rPr>
        <w:tab/>
      </w:r>
    </w:p>
    <w:sectPr w:rsidR="00725475" w:rsidRPr="004F753B" w:rsidSect="00725475">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w:panose1 w:val="02040503050406030204"/>
    <w:charset w:val="4D"/>
    <w:family w:val="roman"/>
    <w:notTrueType/>
    <w:pitch w:val="default"/>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41" w:rsidRDefault="00A47641" w:rsidP="0046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7641" w:rsidRDefault="00A4764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41" w:rsidRDefault="00A47641" w:rsidP="00461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D2D">
      <w:rPr>
        <w:rStyle w:val="PageNumber"/>
        <w:noProof/>
      </w:rPr>
      <w:t>1</w:t>
    </w:r>
    <w:r>
      <w:rPr>
        <w:rStyle w:val="PageNumber"/>
      </w:rPr>
      <w:fldChar w:fldCharType="end"/>
    </w:r>
  </w:p>
  <w:p w:rsidR="00A47641" w:rsidRDefault="00A4764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5475"/>
    <w:rsid w:val="00106FA9"/>
    <w:rsid w:val="00120041"/>
    <w:rsid w:val="0015784D"/>
    <w:rsid w:val="0022651D"/>
    <w:rsid w:val="002F489A"/>
    <w:rsid w:val="00383171"/>
    <w:rsid w:val="003946F9"/>
    <w:rsid w:val="003E1F58"/>
    <w:rsid w:val="00405466"/>
    <w:rsid w:val="004618C8"/>
    <w:rsid w:val="004F753B"/>
    <w:rsid w:val="00663658"/>
    <w:rsid w:val="00693D2D"/>
    <w:rsid w:val="006D6049"/>
    <w:rsid w:val="0071083C"/>
    <w:rsid w:val="00725475"/>
    <w:rsid w:val="007D2EC4"/>
    <w:rsid w:val="007F6D1B"/>
    <w:rsid w:val="00917F2A"/>
    <w:rsid w:val="00931D24"/>
    <w:rsid w:val="00A47641"/>
    <w:rsid w:val="00A6449B"/>
    <w:rsid w:val="00A84CFB"/>
    <w:rsid w:val="00AB1F9C"/>
    <w:rsid w:val="00B15018"/>
    <w:rsid w:val="00BB6E52"/>
    <w:rsid w:val="00D37D02"/>
    <w:rsid w:val="00E42088"/>
    <w:rsid w:val="00E53BF0"/>
    <w:rsid w:val="00E673A7"/>
    <w:rsid w:val="00E97023"/>
    <w:rsid w:val="00EF48E0"/>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6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17F2A"/>
    <w:pPr>
      <w:tabs>
        <w:tab w:val="center" w:pos="4320"/>
        <w:tab w:val="right" w:pos="8640"/>
      </w:tabs>
    </w:pPr>
  </w:style>
  <w:style w:type="character" w:customStyle="1" w:styleId="FooterChar">
    <w:name w:val="Footer Char"/>
    <w:basedOn w:val="DefaultParagraphFont"/>
    <w:link w:val="Footer"/>
    <w:uiPriority w:val="99"/>
    <w:semiHidden/>
    <w:rsid w:val="00917F2A"/>
    <w:rPr>
      <w:sz w:val="24"/>
      <w:szCs w:val="24"/>
    </w:rPr>
  </w:style>
  <w:style w:type="character" w:styleId="PageNumber">
    <w:name w:val="page number"/>
    <w:basedOn w:val="DefaultParagraphFont"/>
    <w:uiPriority w:val="99"/>
    <w:semiHidden/>
    <w:unhideWhenUsed/>
    <w:rsid w:val="00917F2A"/>
  </w:style>
</w:styles>
</file>

<file path=word/webSettings.xml><?xml version="1.0" encoding="utf-8"?>
<w:webSettings xmlns:r="http://schemas.openxmlformats.org/officeDocument/2006/relationships" xmlns:w="http://schemas.openxmlformats.org/wordprocessingml/2006/main">
  <w:divs>
    <w:div w:id="719519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6</Pages>
  <Words>1641</Words>
  <Characters>9358</Characters>
  <Application>Microsoft Macintosh Word</Application>
  <DocSecurity>0</DocSecurity>
  <Lines>77</Lines>
  <Paragraphs>18</Paragraphs>
  <ScaleCrop>false</ScaleCrop>
  <Company>Town of Cape Elizabeth</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9</cp:revision>
  <dcterms:created xsi:type="dcterms:W3CDTF">2011-03-08T18:29:00Z</dcterms:created>
  <dcterms:modified xsi:type="dcterms:W3CDTF">2011-03-10T16:27:00Z</dcterms:modified>
</cp:coreProperties>
</file>